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49EC" w14:textId="77777777" w:rsidR="002D4DF2" w:rsidRPr="00DC5CD0" w:rsidRDefault="002D4DF2" w:rsidP="002D4DF2">
      <w:pPr>
        <w:pStyle w:val="Section"/>
      </w:pPr>
      <w:r w:rsidRPr="00DC5CD0">
        <w:t>State of Ohio</w:t>
      </w:r>
    </w:p>
    <w:p w14:paraId="6E888CC4" w14:textId="77777777" w:rsidR="002D4DF2" w:rsidRPr="00DC5CD0" w:rsidRDefault="002D4DF2" w:rsidP="002D4DF2">
      <w:pPr>
        <w:pStyle w:val="Section"/>
      </w:pPr>
      <w:r w:rsidRPr="00DC5CD0">
        <w:t>Department of Transportation</w:t>
      </w:r>
    </w:p>
    <w:p w14:paraId="078D3796" w14:textId="77777777" w:rsidR="002D4DF2" w:rsidRPr="00DC5CD0" w:rsidRDefault="002D4DF2" w:rsidP="002D4DF2">
      <w:pPr>
        <w:pStyle w:val="Section"/>
      </w:pPr>
    </w:p>
    <w:p w14:paraId="4F9A3D0C" w14:textId="77777777" w:rsidR="002D4DF2" w:rsidRPr="00DC5CD0" w:rsidRDefault="002D4DF2" w:rsidP="002D4DF2">
      <w:pPr>
        <w:pStyle w:val="Section"/>
      </w:pPr>
      <w:r w:rsidRPr="00DC5CD0">
        <w:t>SPECIAL PROVISION</w:t>
      </w:r>
    </w:p>
    <w:p w14:paraId="6B24E11B" w14:textId="1DEFF1C1" w:rsidR="00A52687" w:rsidRPr="00DC5CD0" w:rsidRDefault="000819DB" w:rsidP="00A5268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C5CD0">
        <w:rPr>
          <w:b/>
          <w:bCs/>
          <w:sz w:val="24"/>
          <w:szCs w:val="24"/>
        </w:rPr>
        <w:t>L</w:t>
      </w:r>
      <w:r w:rsidR="005B4BF8" w:rsidRPr="00DC5CD0">
        <w:rPr>
          <w:b/>
          <w:bCs/>
          <w:sz w:val="24"/>
          <w:szCs w:val="24"/>
        </w:rPr>
        <w:t>OW DENSITY</w:t>
      </w:r>
      <w:r w:rsidRPr="00DC5CD0">
        <w:rPr>
          <w:b/>
          <w:bCs/>
          <w:sz w:val="24"/>
          <w:szCs w:val="24"/>
        </w:rPr>
        <w:t xml:space="preserve"> </w:t>
      </w:r>
      <w:r w:rsidR="00395DA8" w:rsidRPr="00DC5CD0">
        <w:rPr>
          <w:b/>
          <w:bCs/>
          <w:sz w:val="24"/>
          <w:szCs w:val="24"/>
        </w:rPr>
        <w:t>CELLULAR CONCRETE</w:t>
      </w:r>
      <w:r w:rsidR="005B4BF8" w:rsidRPr="00DC5CD0">
        <w:rPr>
          <w:b/>
          <w:bCs/>
          <w:sz w:val="24"/>
          <w:szCs w:val="24"/>
        </w:rPr>
        <w:t xml:space="preserve"> FILL</w:t>
      </w:r>
    </w:p>
    <w:p w14:paraId="00DCAA4B" w14:textId="77777777" w:rsidR="002D4DF2" w:rsidRPr="00DC5CD0" w:rsidRDefault="002D4DF2" w:rsidP="002D4DF2">
      <w:pPr>
        <w:pStyle w:val="SectionDate"/>
      </w:pPr>
    </w:p>
    <w:p w14:paraId="2C7DBEDD" w14:textId="201AB95F" w:rsidR="002D4DF2" w:rsidRPr="00DC5CD0" w:rsidRDefault="00715DB9" w:rsidP="002D4DF2">
      <w:pPr>
        <w:pStyle w:val="SectionDate"/>
      </w:pPr>
      <w:r>
        <w:t xml:space="preserve">April </w:t>
      </w:r>
      <w:r w:rsidR="00D13A80">
        <w:t>3</w:t>
      </w:r>
      <w:r w:rsidR="00045DEC">
        <w:t>, 2023</w:t>
      </w:r>
    </w:p>
    <w:p w14:paraId="6F0FDFED" w14:textId="77777777" w:rsidR="002D4DF2" w:rsidRPr="00DC5CD0" w:rsidRDefault="002D4DF2" w:rsidP="002D4DF2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4F0E82EB" w14:textId="22A619FF" w:rsidR="002D4DF2" w:rsidRPr="00DC5CD0" w:rsidRDefault="00A52687" w:rsidP="002D4DF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C5CD0">
        <w:rPr>
          <w:b/>
          <w:sz w:val="24"/>
          <w:szCs w:val="24"/>
          <w:u w:val="single"/>
        </w:rPr>
        <w:t xml:space="preserve">Item </w:t>
      </w:r>
      <w:r w:rsidR="00395DA8" w:rsidRPr="00DC5CD0">
        <w:rPr>
          <w:b/>
          <w:sz w:val="24"/>
          <w:szCs w:val="24"/>
          <w:u w:val="single"/>
        </w:rPr>
        <w:t xml:space="preserve">203, Special, </w:t>
      </w:r>
      <w:r w:rsidR="00EB02CE" w:rsidRPr="00DC5CD0">
        <w:rPr>
          <w:b/>
          <w:sz w:val="24"/>
          <w:szCs w:val="24"/>
          <w:u w:val="single"/>
        </w:rPr>
        <w:t>L</w:t>
      </w:r>
      <w:r w:rsidR="005B4BF8" w:rsidRPr="00DC5CD0">
        <w:rPr>
          <w:b/>
          <w:sz w:val="24"/>
          <w:szCs w:val="24"/>
          <w:u w:val="single"/>
        </w:rPr>
        <w:t xml:space="preserve">ow Density </w:t>
      </w:r>
      <w:r w:rsidR="00EB02CE" w:rsidRPr="00DC5CD0">
        <w:rPr>
          <w:b/>
          <w:sz w:val="24"/>
          <w:szCs w:val="24"/>
          <w:u w:val="single"/>
        </w:rPr>
        <w:t>Cellular Concrete Fill</w:t>
      </w:r>
    </w:p>
    <w:p w14:paraId="7AC13E52" w14:textId="4ACB7749" w:rsidR="00A52687" w:rsidRPr="00DC5CD0" w:rsidRDefault="00A52687" w:rsidP="00A5268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C5CD0">
        <w:rPr>
          <w:b/>
          <w:sz w:val="24"/>
          <w:szCs w:val="24"/>
          <w:u w:val="single"/>
        </w:rPr>
        <w:t xml:space="preserve">Item </w:t>
      </w:r>
      <w:r w:rsidR="00EB02CE" w:rsidRPr="00DC5CD0">
        <w:rPr>
          <w:b/>
          <w:sz w:val="24"/>
          <w:szCs w:val="24"/>
          <w:u w:val="single"/>
        </w:rPr>
        <w:t>840, Special, L</w:t>
      </w:r>
      <w:r w:rsidR="005B4BF8" w:rsidRPr="00DC5CD0">
        <w:rPr>
          <w:b/>
          <w:sz w:val="24"/>
          <w:szCs w:val="24"/>
          <w:u w:val="single"/>
        </w:rPr>
        <w:t>ow Density</w:t>
      </w:r>
      <w:r w:rsidR="00EB02CE" w:rsidRPr="00DC5CD0">
        <w:rPr>
          <w:b/>
          <w:sz w:val="24"/>
          <w:szCs w:val="24"/>
          <w:u w:val="single"/>
        </w:rPr>
        <w:t xml:space="preserve"> Cellular Concrete Fill</w:t>
      </w:r>
    </w:p>
    <w:p w14:paraId="647CAC22" w14:textId="77777777" w:rsidR="00EB02CE" w:rsidRPr="00DC5CD0" w:rsidRDefault="00EB02CE" w:rsidP="00A5268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6280BE88" w14:textId="77777777" w:rsidR="00F25678" w:rsidRPr="00DC5CD0" w:rsidRDefault="00F25678" w:rsidP="0004740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001A533B" w14:textId="77777777" w:rsidR="00512227" w:rsidRPr="00DC5CD0" w:rsidRDefault="00512227" w:rsidP="005122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DC5CD0">
        <w:rPr>
          <w:b/>
          <w:bCs/>
        </w:rPr>
        <w:t>Description</w:t>
      </w:r>
    </w:p>
    <w:p w14:paraId="0CF7C086" w14:textId="3E1642BD" w:rsidR="00D94EDD" w:rsidRPr="00DC5CD0" w:rsidRDefault="00BF7103" w:rsidP="00D94E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DC5CD0">
        <w:rPr>
          <w:b/>
          <w:bCs/>
        </w:rPr>
        <w:t>Qualifications</w:t>
      </w:r>
    </w:p>
    <w:p w14:paraId="17A1901A" w14:textId="1D162B7A" w:rsidR="00D94EDD" w:rsidRPr="00DC5CD0" w:rsidRDefault="00BF7103" w:rsidP="005122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DC5CD0">
        <w:rPr>
          <w:b/>
          <w:bCs/>
        </w:rPr>
        <w:t>Materials</w:t>
      </w:r>
      <w:r w:rsidR="00D94EDD" w:rsidRPr="00DC5CD0">
        <w:rPr>
          <w:b/>
          <w:bCs/>
        </w:rPr>
        <w:t xml:space="preserve"> </w:t>
      </w:r>
    </w:p>
    <w:p w14:paraId="2C21F8DF" w14:textId="447FC466" w:rsidR="00512227" w:rsidRPr="00DC5CD0" w:rsidRDefault="00BF7103" w:rsidP="005122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DC5CD0">
        <w:rPr>
          <w:b/>
          <w:bCs/>
        </w:rPr>
        <w:t>Mix Design</w:t>
      </w:r>
    </w:p>
    <w:p w14:paraId="2E555FE3" w14:textId="3A7DFB60" w:rsidR="00512227" w:rsidRDefault="00BF7103" w:rsidP="005122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DC5CD0">
        <w:rPr>
          <w:b/>
          <w:bCs/>
        </w:rPr>
        <w:t>Quality Control</w:t>
      </w:r>
    </w:p>
    <w:p w14:paraId="0E215829" w14:textId="2B35879C" w:rsidR="00B944B9" w:rsidRPr="00DC5CD0" w:rsidRDefault="00B944B9" w:rsidP="005122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Quality Assurance</w:t>
      </w:r>
    </w:p>
    <w:p w14:paraId="1C4C53A2" w14:textId="3FA02751" w:rsidR="00B75FAC" w:rsidRDefault="00BF7103" w:rsidP="005122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DC5CD0">
        <w:rPr>
          <w:b/>
          <w:bCs/>
        </w:rPr>
        <w:t>Construction</w:t>
      </w:r>
    </w:p>
    <w:p w14:paraId="7E111860" w14:textId="648EDDC2" w:rsidR="00B944B9" w:rsidRPr="00DC5CD0" w:rsidRDefault="00B944B9" w:rsidP="005122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Submittals</w:t>
      </w:r>
    </w:p>
    <w:p w14:paraId="3731269C" w14:textId="77777777" w:rsidR="00512227" w:rsidRPr="00DC5CD0" w:rsidRDefault="00512227" w:rsidP="005122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DC5CD0">
        <w:rPr>
          <w:b/>
          <w:bCs/>
        </w:rPr>
        <w:t>Method of Measurement</w:t>
      </w:r>
    </w:p>
    <w:p w14:paraId="73A30C11" w14:textId="77777777" w:rsidR="00512227" w:rsidRPr="00DC5CD0" w:rsidRDefault="00512227" w:rsidP="005122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DC5CD0">
        <w:rPr>
          <w:b/>
          <w:bCs/>
        </w:rPr>
        <w:t>Basis of Payment</w:t>
      </w:r>
    </w:p>
    <w:p w14:paraId="5112E528" w14:textId="77777777" w:rsidR="00F25678" w:rsidRPr="00DC5CD0" w:rsidRDefault="00F25678" w:rsidP="0004740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1675951D" w14:textId="40820A6D" w:rsidR="00013873" w:rsidRPr="00DC5CD0" w:rsidRDefault="006F7864" w:rsidP="00D94E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C5CD0">
        <w:rPr>
          <w:b/>
          <w:bCs/>
        </w:rPr>
        <w:t>Description</w:t>
      </w:r>
      <w:r w:rsidR="005C5F67" w:rsidRPr="00DC5CD0">
        <w:rPr>
          <w:b/>
          <w:bCs/>
        </w:rPr>
        <w:t xml:space="preserve">.  </w:t>
      </w:r>
      <w:r w:rsidR="00BF7103" w:rsidRPr="00DC5CD0">
        <w:t>This work consists of furnishing and placing a low density, lightweight, flowable, low absorption, cementitious fill material</w:t>
      </w:r>
      <w:r w:rsidR="00466787" w:rsidRPr="00DC5CD0">
        <w:t xml:space="preserve">, referred to as </w:t>
      </w:r>
      <w:r w:rsidR="001D7105" w:rsidRPr="00DC5CD0">
        <w:t>l</w:t>
      </w:r>
      <w:r w:rsidR="005B4BF8" w:rsidRPr="00DC5CD0">
        <w:t>ow density</w:t>
      </w:r>
      <w:r w:rsidR="001D7105" w:rsidRPr="00DC5CD0">
        <w:t xml:space="preserve"> </w:t>
      </w:r>
      <w:r w:rsidR="00466787" w:rsidRPr="00DC5CD0">
        <w:t>cellular concrete fill (</w:t>
      </w:r>
      <w:r w:rsidR="001D7105" w:rsidRPr="00DC5CD0">
        <w:t>L</w:t>
      </w:r>
      <w:r w:rsidR="005B4BF8" w:rsidRPr="00DC5CD0">
        <w:t>D</w:t>
      </w:r>
      <w:r w:rsidR="001D7105" w:rsidRPr="00DC5CD0">
        <w:t>CCF</w:t>
      </w:r>
      <w:r w:rsidR="00466787" w:rsidRPr="00DC5CD0">
        <w:t>)</w:t>
      </w:r>
      <w:r w:rsidR="00013873" w:rsidRPr="00DC5CD0">
        <w:t>.</w:t>
      </w:r>
    </w:p>
    <w:p w14:paraId="136FFF3E" w14:textId="4A9FA891" w:rsidR="00013873" w:rsidRPr="00DC5CD0" w:rsidRDefault="00013873" w:rsidP="0001387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</w:rPr>
      </w:pPr>
    </w:p>
    <w:p w14:paraId="54CB9D48" w14:textId="227FAA9D" w:rsidR="00D8377F" w:rsidRPr="00700885" w:rsidRDefault="00BF7103" w:rsidP="007008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rPr>
          <w:b/>
        </w:rPr>
        <w:t>Qualifications</w:t>
      </w:r>
      <w:r w:rsidR="00013873" w:rsidRPr="00DC5CD0">
        <w:rPr>
          <w:b/>
        </w:rPr>
        <w:t>.</w:t>
      </w:r>
      <w:r w:rsidR="00013873" w:rsidRPr="00700885">
        <w:rPr>
          <w:bCs/>
        </w:rPr>
        <w:t xml:space="preserve"> </w:t>
      </w:r>
      <w:r w:rsidR="00700885" w:rsidRPr="00700885">
        <w:rPr>
          <w:bCs/>
        </w:rPr>
        <w:t xml:space="preserve">Provide LDCCF from a Supplier/Producer regularly engaged in the </w:t>
      </w:r>
      <w:r w:rsidR="00EB144A">
        <w:rPr>
          <w:bCs/>
        </w:rPr>
        <w:t>mix design and production of</w:t>
      </w:r>
      <w:r w:rsidR="00700885" w:rsidRPr="00700885">
        <w:rPr>
          <w:bCs/>
        </w:rPr>
        <w:t xml:space="preserve"> LDCCF material, </w:t>
      </w:r>
      <w:r w:rsidR="00EB144A">
        <w:rPr>
          <w:bCs/>
        </w:rPr>
        <w:t xml:space="preserve">and placed by a Contractor </w:t>
      </w:r>
      <w:r w:rsidR="00700885" w:rsidRPr="00700885">
        <w:rPr>
          <w:bCs/>
        </w:rPr>
        <w:t>who ha</w:t>
      </w:r>
      <w:r w:rsidR="00EB144A">
        <w:rPr>
          <w:bCs/>
        </w:rPr>
        <w:t>s</w:t>
      </w:r>
      <w:r w:rsidR="00700885" w:rsidRPr="00700885">
        <w:rPr>
          <w:bCs/>
        </w:rPr>
        <w:t xml:space="preserve"> in the past three years completed mass fills having a combined quantity of at least 10,000 total cubic yards.</w:t>
      </w:r>
    </w:p>
    <w:p w14:paraId="225DB767" w14:textId="77777777" w:rsidR="00D8377F" w:rsidRPr="00DC5CD0" w:rsidRDefault="00D8377F" w:rsidP="00D8377F">
      <w:pPr>
        <w:pStyle w:val="ListParagraph"/>
        <w:rPr>
          <w:b/>
        </w:rPr>
      </w:pPr>
    </w:p>
    <w:p w14:paraId="42463EA7" w14:textId="7712CE64" w:rsidR="009B4C6F" w:rsidRPr="00DC5CD0" w:rsidRDefault="00D8377F" w:rsidP="00D837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C5CD0">
        <w:rPr>
          <w:b/>
          <w:bCs/>
        </w:rPr>
        <w:t>Materials.</w:t>
      </w:r>
      <w:r w:rsidRPr="00DC5CD0">
        <w:t xml:space="preserve">  </w:t>
      </w:r>
      <w:r w:rsidR="00700885" w:rsidRPr="00700885">
        <w:rPr>
          <w:bCs/>
        </w:rPr>
        <w:t xml:space="preserve">Provide LDCCF material meeting the requirements of </w:t>
      </w:r>
      <w:r w:rsidR="00700885">
        <w:rPr>
          <w:bCs/>
        </w:rPr>
        <w:t>this s</w:t>
      </w:r>
      <w:r w:rsidR="00700885" w:rsidRPr="00700885">
        <w:rPr>
          <w:bCs/>
        </w:rPr>
        <w:t>ection which has been successfully placed on at least five projects that have performed satisfactorily for at least five years.</w:t>
      </w:r>
      <w:r w:rsidR="00700885">
        <w:rPr>
          <w:bCs/>
        </w:rPr>
        <w:t xml:space="preserve">  </w:t>
      </w:r>
      <w:r w:rsidRPr="00DC5CD0">
        <w:t xml:space="preserve">Furnish </w:t>
      </w:r>
      <w:r w:rsidR="000651FB" w:rsidRPr="00DC5CD0">
        <w:t xml:space="preserve">the following </w:t>
      </w:r>
      <w:r w:rsidRPr="00DC5CD0">
        <w:t>materials conforming to</w:t>
      </w:r>
      <w:r w:rsidR="009B4C6F" w:rsidRPr="00DC5CD0">
        <w:t xml:space="preserve"> the </w:t>
      </w:r>
      <w:r w:rsidR="000651FB" w:rsidRPr="00DC5CD0">
        <w:t xml:space="preserve">referenced </w:t>
      </w:r>
      <w:r w:rsidR="009B4C6F" w:rsidRPr="00DC5CD0">
        <w:t>requirements</w:t>
      </w:r>
      <w:r w:rsidRPr="00DC5CD0">
        <w:t>:</w:t>
      </w:r>
    </w:p>
    <w:p w14:paraId="3E00FB8C" w14:textId="77777777" w:rsidR="009B4C6F" w:rsidRPr="00DC5CD0" w:rsidRDefault="009B4C6F" w:rsidP="009B4C6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</w:rPr>
      </w:pPr>
    </w:p>
    <w:p w14:paraId="5CC1CB7A" w14:textId="4C1A3474" w:rsidR="009B4C6F" w:rsidRPr="00DC5CD0" w:rsidRDefault="00D8377F" w:rsidP="00D8377F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C5CD0">
        <w:rPr>
          <w:b/>
          <w:bCs/>
        </w:rPr>
        <w:t>Foaming Agent</w:t>
      </w:r>
      <w:r w:rsidR="000651FB" w:rsidRPr="00DC5CD0">
        <w:rPr>
          <w:b/>
          <w:bCs/>
        </w:rPr>
        <w:t>,</w:t>
      </w:r>
      <w:r w:rsidR="000651FB" w:rsidRPr="00DC5CD0">
        <w:t xml:space="preserve"> </w:t>
      </w:r>
      <w:r w:rsidR="009B4C6F" w:rsidRPr="00DC5CD0">
        <w:t xml:space="preserve">conforming to </w:t>
      </w:r>
      <w:r w:rsidRPr="00DC5CD0">
        <w:t>ASTM C796</w:t>
      </w:r>
      <w:r w:rsidR="00257B03">
        <w:t>.</w:t>
      </w:r>
    </w:p>
    <w:p w14:paraId="72333F85" w14:textId="77777777" w:rsidR="009B4C6F" w:rsidRPr="00DC5CD0" w:rsidRDefault="009B4C6F" w:rsidP="009B4C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0266CC1A" w14:textId="39820583" w:rsidR="000651FB" w:rsidRPr="00DC5CD0" w:rsidRDefault="00D8377F" w:rsidP="00D8377F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C5CD0">
        <w:rPr>
          <w:b/>
          <w:bCs/>
        </w:rPr>
        <w:t xml:space="preserve">Portland </w:t>
      </w:r>
      <w:r w:rsidR="009B4C6F" w:rsidRPr="00DC5CD0">
        <w:rPr>
          <w:b/>
          <w:bCs/>
        </w:rPr>
        <w:t>C</w:t>
      </w:r>
      <w:r w:rsidRPr="00DC5CD0">
        <w:rPr>
          <w:b/>
          <w:bCs/>
        </w:rPr>
        <w:t>ement</w:t>
      </w:r>
      <w:r w:rsidR="000651FB" w:rsidRPr="00DC5CD0">
        <w:rPr>
          <w:b/>
          <w:bCs/>
        </w:rPr>
        <w:t>,</w:t>
      </w:r>
      <w:r w:rsidR="009B4C6F" w:rsidRPr="00DC5CD0">
        <w:t xml:space="preserve"> conforming to C&amp;MS</w:t>
      </w:r>
      <w:r w:rsidR="00E274B4" w:rsidRPr="00DC5CD0">
        <w:t xml:space="preserve"> </w:t>
      </w:r>
      <w:r w:rsidRPr="00DC5CD0">
        <w:t>701.0</w:t>
      </w:r>
      <w:r w:rsidR="00257B03">
        <w:t>2, 701.0</w:t>
      </w:r>
      <w:r w:rsidRPr="00DC5CD0">
        <w:t>4 or 701.05</w:t>
      </w:r>
      <w:r w:rsidR="00257B03">
        <w:t>.</w:t>
      </w:r>
    </w:p>
    <w:p w14:paraId="3CB0A3FD" w14:textId="77777777" w:rsidR="000651FB" w:rsidRPr="00DC5CD0" w:rsidRDefault="000651FB" w:rsidP="000651FB">
      <w:pPr>
        <w:pStyle w:val="ListParagraph"/>
      </w:pPr>
    </w:p>
    <w:p w14:paraId="5C86C129" w14:textId="782C2690" w:rsidR="000651FB" w:rsidRPr="00DC5CD0" w:rsidRDefault="000651FB" w:rsidP="00D8377F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C5CD0">
        <w:rPr>
          <w:b/>
          <w:bCs/>
        </w:rPr>
        <w:t xml:space="preserve">Water, </w:t>
      </w:r>
      <w:r w:rsidR="00D8377F" w:rsidRPr="00DC5CD0">
        <w:t xml:space="preserve">conforming to </w:t>
      </w:r>
      <w:r w:rsidR="00E274B4" w:rsidRPr="00DC5CD0">
        <w:t xml:space="preserve">C&amp;MS </w:t>
      </w:r>
      <w:r w:rsidR="00D8377F" w:rsidRPr="00DC5CD0">
        <w:t>499.02.</w:t>
      </w:r>
    </w:p>
    <w:p w14:paraId="38AD386F" w14:textId="77777777" w:rsidR="000651FB" w:rsidRPr="00DC5CD0" w:rsidRDefault="000651FB" w:rsidP="000651FB">
      <w:pPr>
        <w:pStyle w:val="ListParagraph"/>
      </w:pPr>
    </w:p>
    <w:p w14:paraId="5CEEB183" w14:textId="63B40F85" w:rsidR="00D8377F" w:rsidRPr="005C3694" w:rsidRDefault="000651FB" w:rsidP="00D8377F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C5CD0">
        <w:rPr>
          <w:b/>
          <w:bCs/>
        </w:rPr>
        <w:t>A</w:t>
      </w:r>
      <w:r w:rsidR="00D8377F" w:rsidRPr="00DC5CD0">
        <w:rPr>
          <w:b/>
          <w:bCs/>
        </w:rPr>
        <w:t>dmixtures</w:t>
      </w:r>
      <w:r w:rsidR="008F0B99" w:rsidRPr="00DC5CD0">
        <w:rPr>
          <w:b/>
          <w:bCs/>
        </w:rPr>
        <w:t xml:space="preserve"> for Concrete,</w:t>
      </w:r>
      <w:r w:rsidR="00D8377F" w:rsidRPr="00DC5CD0">
        <w:t xml:space="preserve"> </w:t>
      </w:r>
      <w:r w:rsidR="008F0B99" w:rsidRPr="00DC5CD0">
        <w:t>c</w:t>
      </w:r>
      <w:r w:rsidR="00D8377F" w:rsidRPr="00DC5CD0">
        <w:t xml:space="preserve">onforming to </w:t>
      </w:r>
      <w:r w:rsidR="00E274B4" w:rsidRPr="00DC5CD0">
        <w:t xml:space="preserve">C&amp;MS </w:t>
      </w:r>
      <w:r w:rsidR="00D8377F" w:rsidRPr="00DC5CD0">
        <w:t xml:space="preserve">705.12 for water reducing, retarding, accelerating, improving the bond, or for other specific properties, when specifically approved by the Supplier/Producer of the </w:t>
      </w:r>
      <w:r w:rsidR="003028BA" w:rsidRPr="00DC5CD0">
        <w:t>LDCCF</w:t>
      </w:r>
      <w:r w:rsidR="00D8377F" w:rsidRPr="00DC5CD0">
        <w:t>.</w:t>
      </w:r>
    </w:p>
    <w:p w14:paraId="414883B7" w14:textId="77777777" w:rsidR="005C3694" w:rsidRPr="005C3694" w:rsidRDefault="005C3694" w:rsidP="005C3694">
      <w:pPr>
        <w:pStyle w:val="ListParagraph"/>
        <w:rPr>
          <w:b/>
          <w:bCs/>
        </w:rPr>
      </w:pPr>
    </w:p>
    <w:p w14:paraId="0DC45DA0" w14:textId="3C464090" w:rsidR="005C3694" w:rsidRPr="005C3694" w:rsidRDefault="005C3694" w:rsidP="005C3694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lastRenderedPageBreak/>
        <w:t>Fly ash Class C or F conforming to C&amp;MS 701.13 and certified per S1026 may be used if it is approved by Supplier/Producer and is compatible with the foaming agent.</w:t>
      </w:r>
    </w:p>
    <w:p w14:paraId="1BBCF8CB" w14:textId="77777777" w:rsidR="008F0B99" w:rsidRPr="00DC5CD0" w:rsidRDefault="008F0B99" w:rsidP="008F0B99">
      <w:pPr>
        <w:pStyle w:val="ListParagraph"/>
        <w:rPr>
          <w:b/>
          <w:bCs/>
        </w:rPr>
      </w:pPr>
    </w:p>
    <w:p w14:paraId="4E93EB76" w14:textId="4BF24958" w:rsidR="008F0B99" w:rsidRPr="00DC5CD0" w:rsidRDefault="008F0B99" w:rsidP="008F0B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C5CD0">
        <w:rPr>
          <w:b/>
          <w:bCs/>
        </w:rPr>
        <w:t>Mix Design.</w:t>
      </w:r>
      <w:r w:rsidRPr="00DC5CD0">
        <w:t xml:space="preserve">  The proposed mix design must meet the properties of Table 1 for the Class of </w:t>
      </w:r>
      <w:r w:rsidR="003028BA" w:rsidRPr="00DC5CD0">
        <w:t>LDCCF</w:t>
      </w:r>
      <w:r w:rsidRPr="00DC5CD0">
        <w:t xml:space="preserve"> specified in the contract documents.</w:t>
      </w:r>
    </w:p>
    <w:p w14:paraId="16A385F2" w14:textId="77777777" w:rsidR="00E83C8F" w:rsidRPr="00DC5CD0" w:rsidRDefault="00E83C8F" w:rsidP="00E83C8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</w:rPr>
      </w:pPr>
    </w:p>
    <w:tbl>
      <w:tblPr>
        <w:tblW w:w="9360" w:type="dxa"/>
        <w:tblInd w:w="9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770"/>
        <w:gridCol w:w="1530"/>
        <w:gridCol w:w="1530"/>
        <w:gridCol w:w="1530"/>
      </w:tblGrid>
      <w:tr w:rsidR="00405F9E" w:rsidRPr="00DC5CD0" w14:paraId="5DF1CA1D" w14:textId="77777777" w:rsidTr="00E83C8F">
        <w:trPr>
          <w:cantSplit/>
        </w:trPr>
        <w:tc>
          <w:tcPr>
            <w:tcW w:w="9360" w:type="dxa"/>
            <w:gridSpan w:val="4"/>
          </w:tcPr>
          <w:p w14:paraId="1E026BE4" w14:textId="79DF3EE9" w:rsidR="00405F9E" w:rsidRPr="00DC5CD0" w:rsidRDefault="00405F9E" w:rsidP="0040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5CD0">
              <w:rPr>
                <w:b/>
                <w:bCs/>
                <w:sz w:val="24"/>
                <w:szCs w:val="24"/>
              </w:rPr>
              <w:t xml:space="preserve">Table 1 – </w:t>
            </w:r>
            <w:r w:rsidR="003028BA" w:rsidRPr="00DC5CD0">
              <w:rPr>
                <w:b/>
                <w:bCs/>
                <w:sz w:val="24"/>
                <w:szCs w:val="24"/>
              </w:rPr>
              <w:t>LDCCF</w:t>
            </w:r>
            <w:r w:rsidRPr="00DC5CD0">
              <w:rPr>
                <w:b/>
                <w:bCs/>
                <w:sz w:val="24"/>
                <w:szCs w:val="24"/>
              </w:rPr>
              <w:t xml:space="preserve"> Properties</w:t>
            </w:r>
          </w:p>
        </w:tc>
      </w:tr>
      <w:tr w:rsidR="00405F9E" w:rsidRPr="00DC5CD0" w14:paraId="32830F2A" w14:textId="77777777" w:rsidTr="00E83C8F">
        <w:trPr>
          <w:cantSplit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3B4E5" w14:textId="77777777" w:rsidR="00405F9E" w:rsidRPr="00DC5CD0" w:rsidRDefault="00405F9E" w:rsidP="0028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5CD0">
              <w:rPr>
                <w:b/>
                <w:bCs/>
                <w:sz w:val="24"/>
                <w:szCs w:val="24"/>
              </w:rPr>
              <w:t>Property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F806A" w14:textId="77777777" w:rsidR="00405F9E" w:rsidRPr="00DC5CD0" w:rsidRDefault="00405F9E" w:rsidP="0028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5CD0">
              <w:rPr>
                <w:b/>
                <w:bCs/>
                <w:sz w:val="24"/>
                <w:szCs w:val="24"/>
              </w:rPr>
              <w:t>Class II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E70CB" w14:textId="77777777" w:rsidR="00405F9E" w:rsidRPr="00DC5CD0" w:rsidRDefault="00405F9E" w:rsidP="0028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5CD0">
              <w:rPr>
                <w:b/>
                <w:bCs/>
                <w:sz w:val="24"/>
                <w:szCs w:val="24"/>
              </w:rPr>
              <w:t>Class III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A198D" w14:textId="77777777" w:rsidR="00405F9E" w:rsidRPr="00DC5CD0" w:rsidRDefault="00405F9E" w:rsidP="0028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5CD0">
              <w:rPr>
                <w:b/>
                <w:bCs/>
                <w:sz w:val="24"/>
                <w:szCs w:val="24"/>
              </w:rPr>
              <w:t>Class IV</w:t>
            </w:r>
          </w:p>
        </w:tc>
      </w:tr>
      <w:tr w:rsidR="00405F9E" w:rsidRPr="00DC5CD0" w14:paraId="293D78DC" w14:textId="77777777" w:rsidTr="00E83C8F">
        <w:trPr>
          <w:cantSplit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98909" w14:textId="1A565FEB" w:rsidR="00405F9E" w:rsidRPr="00DC5CD0" w:rsidRDefault="00405F9E" w:rsidP="00405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C5CD0">
              <w:rPr>
                <w:b/>
                <w:bCs/>
                <w:sz w:val="24"/>
                <w:szCs w:val="24"/>
              </w:rPr>
              <w:t>Cast Density</w:t>
            </w:r>
            <w:r w:rsidRPr="00DC5CD0">
              <w:rPr>
                <w:sz w:val="24"/>
                <w:szCs w:val="24"/>
                <w:vertAlign w:val="superscript"/>
              </w:rPr>
              <w:t>1</w:t>
            </w:r>
            <w:r w:rsidRPr="00DC5CD0">
              <w:rPr>
                <w:sz w:val="24"/>
                <w:szCs w:val="24"/>
              </w:rPr>
              <w:t>, max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5497C" w14:textId="0E8CAEB9" w:rsidR="00405F9E" w:rsidRPr="00DC5CD0" w:rsidRDefault="00405F9E" w:rsidP="00405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C5CD0">
              <w:rPr>
                <w:sz w:val="24"/>
                <w:szCs w:val="24"/>
              </w:rPr>
              <w:t xml:space="preserve">30 </w:t>
            </w:r>
            <w:proofErr w:type="spellStart"/>
            <w:r w:rsidRPr="00DC5CD0">
              <w:rPr>
                <w:sz w:val="24"/>
                <w:szCs w:val="24"/>
              </w:rPr>
              <w:t>lb</w:t>
            </w:r>
            <w:proofErr w:type="spellEnd"/>
            <w:r w:rsidRPr="00DC5CD0">
              <w:rPr>
                <w:sz w:val="24"/>
                <w:szCs w:val="24"/>
              </w:rPr>
              <w:t>/ft</w:t>
            </w:r>
            <w:r w:rsidRPr="00DC5CD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270F0" w14:textId="4121886B" w:rsidR="00405F9E" w:rsidRPr="00DC5CD0" w:rsidRDefault="00405F9E" w:rsidP="00405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C5CD0">
              <w:rPr>
                <w:sz w:val="24"/>
                <w:szCs w:val="24"/>
              </w:rPr>
              <w:t xml:space="preserve">36 </w:t>
            </w:r>
            <w:proofErr w:type="spellStart"/>
            <w:r w:rsidRPr="00DC5CD0">
              <w:rPr>
                <w:sz w:val="24"/>
                <w:szCs w:val="24"/>
              </w:rPr>
              <w:t>lb</w:t>
            </w:r>
            <w:proofErr w:type="spellEnd"/>
            <w:r w:rsidRPr="00DC5CD0">
              <w:rPr>
                <w:sz w:val="24"/>
                <w:szCs w:val="24"/>
              </w:rPr>
              <w:t>/ft</w:t>
            </w:r>
            <w:r w:rsidRPr="00DC5CD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953B8" w14:textId="58C7FAF5" w:rsidR="00405F9E" w:rsidRPr="00DC5CD0" w:rsidRDefault="00405F9E" w:rsidP="00405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C5CD0">
              <w:rPr>
                <w:sz w:val="24"/>
                <w:szCs w:val="24"/>
              </w:rPr>
              <w:t xml:space="preserve">42 </w:t>
            </w:r>
            <w:proofErr w:type="spellStart"/>
            <w:r w:rsidRPr="00DC5CD0">
              <w:rPr>
                <w:sz w:val="24"/>
                <w:szCs w:val="24"/>
              </w:rPr>
              <w:t>lb</w:t>
            </w:r>
            <w:proofErr w:type="spellEnd"/>
            <w:r w:rsidRPr="00DC5CD0">
              <w:rPr>
                <w:sz w:val="24"/>
                <w:szCs w:val="24"/>
              </w:rPr>
              <w:t>/ft</w:t>
            </w:r>
            <w:r w:rsidRPr="00DC5CD0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405F9E" w:rsidRPr="00DC5CD0" w14:paraId="4CC06A28" w14:textId="77777777" w:rsidTr="00E83C8F">
        <w:trPr>
          <w:cantSplit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2608C" w14:textId="7EAA8D63" w:rsidR="00405F9E" w:rsidRPr="00DC5CD0" w:rsidRDefault="00405F9E" w:rsidP="00405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C5CD0">
              <w:rPr>
                <w:b/>
                <w:bCs/>
                <w:sz w:val="24"/>
                <w:szCs w:val="24"/>
              </w:rPr>
              <w:t>Compressive Strength</w:t>
            </w:r>
            <w:r w:rsidRPr="00DC5CD0">
              <w:rPr>
                <w:sz w:val="24"/>
                <w:szCs w:val="24"/>
                <w:vertAlign w:val="superscript"/>
              </w:rPr>
              <w:t>2</w:t>
            </w:r>
            <w:r w:rsidRPr="00DC5CD0">
              <w:rPr>
                <w:sz w:val="24"/>
                <w:szCs w:val="24"/>
              </w:rPr>
              <w:t>, min, @ 28 days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6AD6E" w14:textId="4596D2EC" w:rsidR="00405F9E" w:rsidRPr="00DC5CD0" w:rsidRDefault="00405F9E" w:rsidP="00405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C5CD0">
              <w:rPr>
                <w:sz w:val="24"/>
                <w:szCs w:val="24"/>
              </w:rPr>
              <w:t>40 psi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2A182" w14:textId="2E6D3D13" w:rsidR="00405F9E" w:rsidRPr="00DC5CD0" w:rsidRDefault="00405F9E" w:rsidP="00405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C5CD0">
              <w:rPr>
                <w:sz w:val="24"/>
                <w:szCs w:val="24"/>
              </w:rPr>
              <w:t>80 psi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4904C" w14:textId="0F03A7C1" w:rsidR="00405F9E" w:rsidRPr="00DC5CD0" w:rsidRDefault="00405F9E" w:rsidP="00405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C5CD0">
              <w:rPr>
                <w:sz w:val="24"/>
                <w:szCs w:val="24"/>
              </w:rPr>
              <w:t>120 psi</w:t>
            </w:r>
          </w:p>
        </w:tc>
      </w:tr>
      <w:tr w:rsidR="00405F9E" w:rsidRPr="00DC5CD0" w14:paraId="76844388" w14:textId="77777777" w:rsidTr="00E83C8F">
        <w:trPr>
          <w:cantSplit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5635D" w14:textId="77777777" w:rsidR="00405F9E" w:rsidRPr="00DC5CD0" w:rsidRDefault="00405F9E" w:rsidP="00405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C5CD0">
              <w:rPr>
                <w:b/>
                <w:bCs/>
                <w:sz w:val="24"/>
                <w:szCs w:val="24"/>
              </w:rPr>
              <w:t>Water Absorption</w:t>
            </w:r>
            <w:r w:rsidRPr="00DC5CD0">
              <w:rPr>
                <w:sz w:val="24"/>
                <w:szCs w:val="24"/>
              </w:rPr>
              <w:t xml:space="preserve">, ASTM C796, max </w:t>
            </w:r>
            <w:r w:rsidRPr="00DC5CD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1B0AB" w14:textId="77777777" w:rsidR="00405F9E" w:rsidRPr="00DC5CD0" w:rsidRDefault="00405F9E" w:rsidP="00405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C5CD0">
              <w:rPr>
                <w:sz w:val="24"/>
                <w:szCs w:val="24"/>
              </w:rPr>
              <w:t>20 percent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34758" w14:textId="77777777" w:rsidR="00405F9E" w:rsidRPr="00DC5CD0" w:rsidRDefault="00405F9E" w:rsidP="00405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C5CD0">
              <w:rPr>
                <w:sz w:val="24"/>
                <w:szCs w:val="24"/>
              </w:rPr>
              <w:t>16 percent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4CFCA" w14:textId="77777777" w:rsidR="00405F9E" w:rsidRPr="00DC5CD0" w:rsidRDefault="00405F9E" w:rsidP="00405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C5CD0">
              <w:rPr>
                <w:sz w:val="24"/>
                <w:szCs w:val="24"/>
              </w:rPr>
              <w:t>14 percent</w:t>
            </w:r>
          </w:p>
        </w:tc>
      </w:tr>
      <w:tr w:rsidR="00405F9E" w:rsidRPr="00DC5CD0" w14:paraId="24784DB1" w14:textId="77777777" w:rsidTr="00E83C8F">
        <w:trPr>
          <w:cantSplit/>
        </w:trPr>
        <w:tc>
          <w:tcPr>
            <w:tcW w:w="9360" w:type="dxa"/>
            <w:gridSpan w:val="4"/>
          </w:tcPr>
          <w:p w14:paraId="4B1FBFBA" w14:textId="610D523F" w:rsidR="00405F9E" w:rsidRPr="00DC5CD0" w:rsidRDefault="00405F9E" w:rsidP="00405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C5CD0">
              <w:rPr>
                <w:sz w:val="24"/>
                <w:szCs w:val="24"/>
                <w:vertAlign w:val="superscript"/>
              </w:rPr>
              <w:t>1</w:t>
            </w:r>
            <w:r w:rsidRPr="00DC5CD0">
              <w:rPr>
                <w:b/>
                <w:bCs/>
                <w:sz w:val="24"/>
                <w:szCs w:val="24"/>
              </w:rPr>
              <w:tab/>
            </w:r>
            <w:r w:rsidRPr="00DC5CD0">
              <w:rPr>
                <w:sz w:val="24"/>
                <w:szCs w:val="24"/>
              </w:rPr>
              <w:t xml:space="preserve">Specified in Section </w:t>
            </w:r>
            <w:r w:rsidR="003F21A9" w:rsidRPr="00DC5CD0">
              <w:rPr>
                <w:sz w:val="24"/>
                <w:szCs w:val="24"/>
              </w:rPr>
              <w:t>6</w:t>
            </w:r>
            <w:r w:rsidRPr="00DC5CD0">
              <w:rPr>
                <w:sz w:val="24"/>
                <w:szCs w:val="24"/>
              </w:rPr>
              <w:t>.</w:t>
            </w:r>
            <w:r w:rsidR="00343A0E" w:rsidRPr="00DC5CD0">
              <w:rPr>
                <w:sz w:val="24"/>
                <w:szCs w:val="24"/>
              </w:rPr>
              <w:t>0</w:t>
            </w:r>
            <w:r w:rsidRPr="00DC5CD0">
              <w:rPr>
                <w:sz w:val="24"/>
                <w:szCs w:val="24"/>
              </w:rPr>
              <w:t xml:space="preserve"> of this </w:t>
            </w:r>
            <w:r w:rsidR="003F21A9" w:rsidRPr="00DC5CD0">
              <w:rPr>
                <w:sz w:val="24"/>
                <w:szCs w:val="24"/>
              </w:rPr>
              <w:t>s</w:t>
            </w:r>
            <w:r w:rsidRPr="00DC5CD0">
              <w:rPr>
                <w:sz w:val="24"/>
                <w:szCs w:val="24"/>
              </w:rPr>
              <w:t>pecification</w:t>
            </w:r>
          </w:p>
          <w:p w14:paraId="1C0B1E36" w14:textId="25F08EF8" w:rsidR="00405F9E" w:rsidRPr="00DC5CD0" w:rsidRDefault="00405F9E" w:rsidP="00405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C5CD0">
              <w:rPr>
                <w:sz w:val="24"/>
                <w:szCs w:val="24"/>
                <w:vertAlign w:val="superscript"/>
              </w:rPr>
              <w:t>2</w:t>
            </w:r>
            <w:r w:rsidRPr="00DC5CD0">
              <w:rPr>
                <w:sz w:val="24"/>
                <w:szCs w:val="24"/>
              </w:rPr>
              <w:tab/>
              <w:t xml:space="preserve">Modified in Section </w:t>
            </w:r>
            <w:r w:rsidR="00343A0E" w:rsidRPr="00DC5CD0">
              <w:rPr>
                <w:sz w:val="24"/>
                <w:szCs w:val="24"/>
              </w:rPr>
              <w:t>6</w:t>
            </w:r>
            <w:r w:rsidRPr="00DC5CD0">
              <w:rPr>
                <w:sz w:val="24"/>
                <w:szCs w:val="24"/>
              </w:rPr>
              <w:t>.2 of this specification</w:t>
            </w:r>
          </w:p>
          <w:p w14:paraId="7192B6B6" w14:textId="77777777" w:rsidR="00405F9E" w:rsidRPr="00DC5CD0" w:rsidRDefault="00405F9E" w:rsidP="00405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C5CD0">
              <w:rPr>
                <w:sz w:val="24"/>
                <w:szCs w:val="24"/>
                <w:vertAlign w:val="superscript"/>
              </w:rPr>
              <w:t>3</w:t>
            </w:r>
            <w:r w:rsidRPr="00DC5CD0">
              <w:rPr>
                <w:sz w:val="24"/>
                <w:szCs w:val="24"/>
              </w:rPr>
              <w:tab/>
              <w:t>Expressed as percent of cast density</w:t>
            </w:r>
          </w:p>
        </w:tc>
      </w:tr>
    </w:tbl>
    <w:p w14:paraId="35FB362F" w14:textId="77777777" w:rsidR="00405F9E" w:rsidRPr="00DC5CD0" w:rsidRDefault="00405F9E" w:rsidP="00405F9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7E5BBDC1" w14:textId="06E0E9BE" w:rsidR="00E83C8F" w:rsidRPr="00DC5CD0" w:rsidRDefault="00E83C8F" w:rsidP="00E83C8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C5CD0">
        <w:rPr>
          <w:b/>
          <w:bCs/>
        </w:rPr>
        <w:t xml:space="preserve">Quality Control. </w:t>
      </w:r>
      <w:r w:rsidRPr="00DC5CD0">
        <w:t xml:space="preserve">Perform cast density measurements </w:t>
      </w:r>
      <w:r w:rsidR="00003312" w:rsidRPr="00DC5CD0">
        <w:t xml:space="preserve">hourly </w:t>
      </w:r>
      <w:r w:rsidRPr="00DC5CD0">
        <w:t xml:space="preserve">on </w:t>
      </w:r>
      <w:r w:rsidR="00003312" w:rsidRPr="00DC5CD0">
        <w:t xml:space="preserve">each day of </w:t>
      </w:r>
      <w:r w:rsidRPr="00DC5CD0">
        <w:t>production.  Maintain a log of the cast density measurements.</w:t>
      </w:r>
    </w:p>
    <w:p w14:paraId="7D73BF70" w14:textId="46088229" w:rsidR="00492D32" w:rsidRPr="00DC5CD0" w:rsidRDefault="00492D32" w:rsidP="00492D3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</w:rPr>
      </w:pPr>
    </w:p>
    <w:p w14:paraId="56C7B21A" w14:textId="3EA23638" w:rsidR="00492D32" w:rsidRPr="00DC5CD0" w:rsidRDefault="00492D32" w:rsidP="00492D3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rPr>
          <w:b/>
          <w:bCs/>
        </w:rPr>
        <w:t>Quality Assurance.</w:t>
      </w:r>
      <w:r w:rsidRPr="00DC5CD0">
        <w:t xml:space="preserve">  Quality assurance will be based on the cast density and compressive strength at the point of placement.  Any mixes not meeting the </w:t>
      </w:r>
      <w:r w:rsidR="00315566">
        <w:t xml:space="preserve">requirements in </w:t>
      </w:r>
      <w:r w:rsidRPr="00DC5CD0">
        <w:t xml:space="preserve">Table </w:t>
      </w:r>
      <w:r w:rsidR="004E6D69" w:rsidRPr="00DC5CD0">
        <w:t>1</w:t>
      </w:r>
      <w:r w:rsidRPr="00DC5CD0">
        <w:t xml:space="preserve"> </w:t>
      </w:r>
      <w:r w:rsidR="00315566">
        <w:t>for the specified class</w:t>
      </w:r>
      <w:r w:rsidRPr="00DC5CD0">
        <w:t xml:space="preserve"> will be rejected.</w:t>
      </w:r>
    </w:p>
    <w:p w14:paraId="3C83D24E" w14:textId="77777777" w:rsidR="003F21A9" w:rsidRPr="00DC5CD0" w:rsidRDefault="003F21A9" w:rsidP="003F21A9">
      <w:pPr>
        <w:pStyle w:val="ListParagraph"/>
      </w:pPr>
    </w:p>
    <w:p w14:paraId="78CF1C76" w14:textId="50727D61" w:rsidR="003F21A9" w:rsidRPr="00DC5CD0" w:rsidRDefault="003F21A9" w:rsidP="003F21A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rPr>
          <w:b/>
          <w:bCs/>
        </w:rPr>
        <w:t>Cast Density.</w:t>
      </w:r>
      <w:r w:rsidRPr="00DC5CD0">
        <w:t xml:space="preserve">  At a minimum, the Engineer will check one of the batches each day, as follows:</w:t>
      </w:r>
    </w:p>
    <w:p w14:paraId="5340BFF0" w14:textId="0E943468" w:rsidR="009310AB" w:rsidRPr="00DC5CD0" w:rsidRDefault="009310AB" w:rsidP="009310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t>Weigh a container of known volume and record the weight.  A standard concrete cylinder mold may be used as the container.</w:t>
      </w:r>
    </w:p>
    <w:p w14:paraId="66AB369F" w14:textId="224D0D8A" w:rsidR="009310AB" w:rsidRPr="00DC5CD0" w:rsidRDefault="009310AB" w:rsidP="009310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t xml:space="preserve">Fill the container with </w:t>
      </w:r>
      <w:r w:rsidR="003028BA" w:rsidRPr="00DC5CD0">
        <w:t>LDCCF</w:t>
      </w:r>
      <w:r w:rsidRPr="00DC5CD0">
        <w:t>, tapping the container sides briskly with a rubber hammer during filling.</w:t>
      </w:r>
      <w:r w:rsidR="009B5DAD">
        <w:t xml:space="preserve"> Do not rod the sample as is done for concrete testing.</w:t>
      </w:r>
    </w:p>
    <w:p w14:paraId="425C068C" w14:textId="32BF93FB" w:rsidR="009310AB" w:rsidRPr="00DC5CD0" w:rsidRDefault="009310AB" w:rsidP="009310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t xml:space="preserve">Overfill the container, striking off the excess </w:t>
      </w:r>
      <w:r w:rsidR="003028BA" w:rsidRPr="00DC5CD0">
        <w:t>LDCCF</w:t>
      </w:r>
      <w:r w:rsidRPr="00DC5CD0">
        <w:t>.  Wipe off the outside surface of the container.</w:t>
      </w:r>
    </w:p>
    <w:p w14:paraId="7437BCB1" w14:textId="43ADBAEC" w:rsidR="009310AB" w:rsidRPr="00DC5CD0" w:rsidRDefault="009310AB" w:rsidP="009310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t>Weigh the full container.</w:t>
      </w:r>
    </w:p>
    <w:p w14:paraId="7AE8DA0E" w14:textId="77112D3D" w:rsidR="009310AB" w:rsidRPr="00DC5CD0" w:rsidRDefault="009310AB" w:rsidP="009310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t>Subtract the weight of the empty container from the full container.</w:t>
      </w:r>
    </w:p>
    <w:p w14:paraId="69017A37" w14:textId="6B6F26D8" w:rsidR="009310AB" w:rsidRPr="00DC5CD0" w:rsidRDefault="009310AB" w:rsidP="009310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t xml:space="preserve">Calculate the cast density and compare it to the maximum density for the Class of </w:t>
      </w:r>
      <w:r w:rsidR="003028BA" w:rsidRPr="00DC5CD0">
        <w:t>LDCCF</w:t>
      </w:r>
      <w:r w:rsidRPr="00DC5CD0">
        <w:t>.</w:t>
      </w:r>
    </w:p>
    <w:p w14:paraId="03B022CC" w14:textId="77777777" w:rsidR="008C2022" w:rsidRPr="00DC5CD0" w:rsidRDefault="008C2022" w:rsidP="008C202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p w14:paraId="26A8CC28" w14:textId="7A27D162" w:rsidR="008C2022" w:rsidRPr="00DC5CD0" w:rsidRDefault="008C2022" w:rsidP="008C202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  <w:r w:rsidRPr="00DC5CD0">
        <w:rPr>
          <w:sz w:val="24"/>
          <w:szCs w:val="24"/>
        </w:rPr>
        <w:t xml:space="preserve">If the </w:t>
      </w:r>
      <w:r w:rsidR="003028BA" w:rsidRPr="00DC5CD0">
        <w:rPr>
          <w:sz w:val="24"/>
          <w:szCs w:val="24"/>
        </w:rPr>
        <w:t>LDCCF</w:t>
      </w:r>
      <w:r w:rsidRPr="00DC5CD0">
        <w:rPr>
          <w:sz w:val="24"/>
          <w:szCs w:val="24"/>
        </w:rPr>
        <w:t xml:space="preserve"> material exceeds the maximum density for the specified Class, adjust the mix and recheck the cast density.</w:t>
      </w:r>
    </w:p>
    <w:p w14:paraId="56A3D1BE" w14:textId="77777777" w:rsidR="008C2022" w:rsidRPr="00DC5CD0" w:rsidRDefault="008C2022" w:rsidP="008C202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p w14:paraId="24121738" w14:textId="4CA7C950" w:rsidR="009310AB" w:rsidRPr="00DC5CD0" w:rsidRDefault="008C2022" w:rsidP="003F21A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rPr>
          <w:b/>
          <w:bCs/>
        </w:rPr>
        <w:t>Compressive Strength.</w:t>
      </w:r>
      <w:r w:rsidRPr="00DC5CD0">
        <w:t xml:space="preserve">  Take at least four (4) test specimens for each 300 cubic yards of </w:t>
      </w:r>
      <w:r w:rsidR="003028BA" w:rsidRPr="00DC5CD0">
        <w:t>LDCCF</w:t>
      </w:r>
      <w:r w:rsidRPr="00DC5CD0">
        <w:t xml:space="preserve"> placed or for each day’s production. Prepare, cure, and test the specimens in accordance with ASTM C796 except as follows:</w:t>
      </w:r>
    </w:p>
    <w:p w14:paraId="792981F4" w14:textId="56236C73" w:rsidR="008C2022" w:rsidRPr="00DC5CD0" w:rsidRDefault="00353CA8" w:rsidP="008C202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t xml:space="preserve">Fill an appropriate 3-inch by 6-inch cylinder mold according to ASTM C796, except strike off the excess </w:t>
      </w:r>
      <w:r w:rsidR="003028BA" w:rsidRPr="00DC5CD0">
        <w:t>LDCCF</w:t>
      </w:r>
      <w:r w:rsidRPr="00DC5CD0">
        <w:t xml:space="preserve"> with a trowel.</w:t>
      </w:r>
      <w:r w:rsidR="00115DE9">
        <w:t xml:space="preserve"> Do not rod the sample as is done for concrete testing.</w:t>
      </w:r>
    </w:p>
    <w:p w14:paraId="3390AA32" w14:textId="10698482" w:rsidR="00353CA8" w:rsidRPr="00DC5CD0" w:rsidRDefault="00353CA8" w:rsidP="008C202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t xml:space="preserve">Cure the </w:t>
      </w:r>
      <w:r w:rsidR="004E6D69" w:rsidRPr="00DC5CD0">
        <w:t xml:space="preserve">filled </w:t>
      </w:r>
      <w:r w:rsidRPr="00DC5CD0">
        <w:t>molds in a curing box.</w:t>
      </w:r>
    </w:p>
    <w:p w14:paraId="4D683A0D" w14:textId="4FCA04CF" w:rsidR="00353CA8" w:rsidRPr="00DC5CD0" w:rsidRDefault="00353CA8" w:rsidP="008C202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lastRenderedPageBreak/>
        <w:t xml:space="preserve">After curing, do not oven dry the specimens that are to be load tested.  Air dry the specimens for 1 to 3 days </w:t>
      </w:r>
      <w:r w:rsidR="00EC6DAB">
        <w:t>before</w:t>
      </w:r>
      <w:r w:rsidRPr="00DC5CD0">
        <w:t xml:space="preserve"> testing.</w:t>
      </w:r>
    </w:p>
    <w:p w14:paraId="52722CE8" w14:textId="744487FA" w:rsidR="00353CA8" w:rsidRPr="00DC5CD0" w:rsidRDefault="00353CA8" w:rsidP="008C202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t xml:space="preserve">While specimens may be tested at any age to monitor the compressive strength of the </w:t>
      </w:r>
      <w:r w:rsidR="003028BA" w:rsidRPr="00DC5CD0">
        <w:t>LDCCF</w:t>
      </w:r>
      <w:r w:rsidRPr="00DC5CD0">
        <w:t>, test a minimum of two specimens at 28 days for acceptance.</w:t>
      </w:r>
    </w:p>
    <w:p w14:paraId="696E0CC7" w14:textId="6C47093C" w:rsidR="00FD07D5" w:rsidRPr="00DC5CD0" w:rsidRDefault="00FD07D5" w:rsidP="008C202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t>Provide the 28-day test results to the Engineer.</w:t>
      </w:r>
    </w:p>
    <w:p w14:paraId="32F99A1C" w14:textId="4B4FCC02" w:rsidR="008C2022" w:rsidRPr="00DC5CD0" w:rsidRDefault="008C2022" w:rsidP="006B06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B3DC232" w14:textId="10C8BD12" w:rsidR="006B0679" w:rsidRPr="00DC5CD0" w:rsidRDefault="006B0679" w:rsidP="006B06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rPr>
          <w:b/>
          <w:bCs/>
        </w:rPr>
        <w:t>Construction.</w:t>
      </w:r>
      <w:r w:rsidR="00DA68A0" w:rsidRPr="00DC5CD0">
        <w:t xml:space="preserve">  Place </w:t>
      </w:r>
      <w:r w:rsidR="003028BA" w:rsidRPr="00DC5CD0">
        <w:t>LDCCF</w:t>
      </w:r>
      <w:r w:rsidR="00DA68A0" w:rsidRPr="00DC5CD0">
        <w:t xml:space="preserve"> according to the Supplier/Producer’s recommended procedures and as described below.</w:t>
      </w:r>
    </w:p>
    <w:p w14:paraId="572DA004" w14:textId="71838475" w:rsidR="00DA68A0" w:rsidRPr="00DC5CD0" w:rsidRDefault="00DA68A0" w:rsidP="00DA68A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 w:rsidRPr="00DC5CD0">
        <w:rPr>
          <w:b/>
          <w:bCs/>
        </w:rPr>
        <w:t xml:space="preserve"> </w:t>
      </w:r>
    </w:p>
    <w:p w14:paraId="5D7D6900" w14:textId="7CD4BEEA" w:rsidR="00DA68A0" w:rsidRPr="00DC5CD0" w:rsidRDefault="00DA68A0" w:rsidP="00DA68A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rPr>
          <w:b/>
          <w:bCs/>
        </w:rPr>
        <w:t>Preparation.</w:t>
      </w:r>
      <w:r w:rsidRPr="00DC5CD0">
        <w:t xml:space="preserve"> The Engineer will examine the exposed subgrade conditions in the placement areas. Correct unsuitable soil conditions as directed by the Engineer before placing the </w:t>
      </w:r>
      <w:r w:rsidR="003028BA" w:rsidRPr="00DC5CD0">
        <w:t>LDCCF</w:t>
      </w:r>
      <w:r w:rsidRPr="00DC5CD0">
        <w:t>. Properly fix in pla</w:t>
      </w:r>
      <w:r w:rsidR="000364A2">
        <w:t>ce</w:t>
      </w:r>
      <w:r w:rsidRPr="00DC5CD0">
        <w:t xml:space="preserve"> position items to be encased in the </w:t>
      </w:r>
      <w:r w:rsidR="003028BA" w:rsidRPr="00DC5CD0">
        <w:t>LDCCF</w:t>
      </w:r>
      <w:r w:rsidRPr="00DC5CD0">
        <w:t>. Coat any aluminum to prevent oxidation from the fresh concrete.</w:t>
      </w:r>
    </w:p>
    <w:p w14:paraId="66048111" w14:textId="505498A0" w:rsidR="00DA68A0" w:rsidRPr="00DC5CD0" w:rsidRDefault="00DA68A0" w:rsidP="00DA68A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281BDF5C" w14:textId="4A9A500C" w:rsidR="00DA68A0" w:rsidRPr="00DC5CD0" w:rsidRDefault="00DA68A0" w:rsidP="00DA68A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rPr>
          <w:b/>
          <w:bCs/>
        </w:rPr>
        <w:t>Weather.</w:t>
      </w:r>
      <w:r w:rsidRPr="00DC5CD0">
        <w:t xml:space="preserve"> Do not place </w:t>
      </w:r>
      <w:r w:rsidR="003028BA" w:rsidRPr="00DC5CD0">
        <w:t>LDCCF</w:t>
      </w:r>
      <w:r w:rsidRPr="00DC5CD0">
        <w:t xml:space="preserve"> if the subsoil is frozen. When the ambient temperature is less than 32 ºF (0 ºC), follow the Supplier/Producer’s recommendations, which may include using heated mix water or Type III cement. Take precautions to avoid damage to the </w:t>
      </w:r>
      <w:r w:rsidR="003028BA" w:rsidRPr="00DC5CD0">
        <w:t>LDCCF</w:t>
      </w:r>
      <w:r w:rsidRPr="00DC5CD0">
        <w:t xml:space="preserve"> from freezing temperatures according to the Supplier/Producer’s recommendations.</w:t>
      </w:r>
    </w:p>
    <w:p w14:paraId="62AECAA4" w14:textId="77777777" w:rsidR="00DA68A0" w:rsidRPr="00DC5CD0" w:rsidRDefault="00DA68A0" w:rsidP="00DA68A0">
      <w:pPr>
        <w:pStyle w:val="ListParagraph"/>
      </w:pPr>
    </w:p>
    <w:p w14:paraId="21555BC8" w14:textId="75524AA6" w:rsidR="00DA68A0" w:rsidRPr="00DC5CD0" w:rsidRDefault="00DA68A0" w:rsidP="00DA68A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rPr>
          <w:b/>
          <w:bCs/>
        </w:rPr>
        <w:t xml:space="preserve">Mixing and </w:t>
      </w:r>
      <w:proofErr w:type="gramStart"/>
      <w:r w:rsidRPr="00DC5CD0">
        <w:rPr>
          <w:b/>
          <w:bCs/>
        </w:rPr>
        <w:t>Conveying</w:t>
      </w:r>
      <w:proofErr w:type="gramEnd"/>
      <w:r w:rsidRPr="00DC5CD0">
        <w:rPr>
          <w:b/>
          <w:bCs/>
        </w:rPr>
        <w:t>.</w:t>
      </w:r>
      <w:r w:rsidRPr="00DC5CD0">
        <w:t xml:space="preserve"> Use </w:t>
      </w:r>
      <w:proofErr w:type="gramStart"/>
      <w:r w:rsidRPr="00DC5CD0">
        <w:t>job-site</w:t>
      </w:r>
      <w:proofErr w:type="gramEnd"/>
      <w:r w:rsidRPr="00DC5CD0">
        <w:t xml:space="preserve"> mixing and conveying equipment for proportioning, mixing and placing the </w:t>
      </w:r>
      <w:r w:rsidR="003028BA" w:rsidRPr="00DC5CD0">
        <w:t>LDCCF</w:t>
      </w:r>
      <w:r w:rsidRPr="00DC5CD0">
        <w:t xml:space="preserve"> approved by the Supplier/Producer. Mix the materials according to the Supplier/Producer mix design procedures and convey the </w:t>
      </w:r>
      <w:r w:rsidR="003028BA" w:rsidRPr="00DC5CD0">
        <w:t>LDCCF</w:t>
      </w:r>
      <w:r w:rsidRPr="00DC5CD0">
        <w:t xml:space="preserve"> to its final position promptly after mixing. Avoid excessive handling of the </w:t>
      </w:r>
      <w:r w:rsidR="003028BA" w:rsidRPr="00DC5CD0">
        <w:t>LDCCF</w:t>
      </w:r>
      <w:r w:rsidRPr="00DC5CD0">
        <w:t>.</w:t>
      </w:r>
    </w:p>
    <w:p w14:paraId="71018F65" w14:textId="77777777" w:rsidR="00DA68A0" w:rsidRPr="00DC5CD0" w:rsidRDefault="00DA68A0" w:rsidP="00DA68A0">
      <w:pPr>
        <w:pStyle w:val="ListParagraph"/>
      </w:pPr>
    </w:p>
    <w:p w14:paraId="346DBD3D" w14:textId="5BF63BAB" w:rsidR="00DA68A0" w:rsidRDefault="00DA68A0" w:rsidP="00DA68A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rPr>
          <w:b/>
          <w:bCs/>
        </w:rPr>
        <w:t>Placement.</w:t>
      </w:r>
      <w:r w:rsidRPr="00DC5CD0">
        <w:t xml:space="preserve"> </w:t>
      </w:r>
      <w:bookmarkStart w:id="0" w:name="_Hlk130211745"/>
      <w:r w:rsidRPr="00DC5CD0">
        <w:t>Place in lifts not exceeding 3.0 feet unless approved by the Engineer. Place subsequent lifts after waiting at least 12 hours.</w:t>
      </w:r>
      <w:bookmarkEnd w:id="0"/>
      <w:r w:rsidRPr="00DC5CD0">
        <w:t xml:space="preserve"> </w:t>
      </w:r>
      <w:r w:rsidR="009D1329" w:rsidRPr="00DC5CD0">
        <w:t>Do not place LDCCF in an area with standing water.</w:t>
      </w:r>
      <w:r w:rsidR="009D1329">
        <w:t xml:space="preserve">  </w:t>
      </w:r>
      <w:r w:rsidRPr="00DC5CD0">
        <w:t xml:space="preserve">Place the </w:t>
      </w:r>
      <w:r w:rsidR="003028BA" w:rsidRPr="00DC5CD0">
        <w:t>LDCCF</w:t>
      </w:r>
      <w:r w:rsidRPr="00DC5CD0">
        <w:t xml:space="preserve"> with the final surface finish within 0.1-foot of plan elevation</w:t>
      </w:r>
      <w:r w:rsidR="009D1329">
        <w:t xml:space="preserve"> </w:t>
      </w:r>
      <w:r w:rsidR="009D1329" w:rsidRPr="005C3694">
        <w:t>and graded to drain as shown on the plans.  The finishing may be executed during placement, or graded afterwards, at the contractor’s discretion.</w:t>
      </w:r>
      <w:r w:rsidR="009D1329">
        <w:t xml:space="preserve">  The finish surface shall not exhibit excessive cracking, subject to the Engineer’s approval.</w:t>
      </w:r>
    </w:p>
    <w:p w14:paraId="0EF16D60" w14:textId="77777777" w:rsidR="009D1329" w:rsidRDefault="009D1329" w:rsidP="009D1329">
      <w:pPr>
        <w:pStyle w:val="ListParagraph"/>
      </w:pPr>
    </w:p>
    <w:p w14:paraId="259CE45C" w14:textId="01650F91" w:rsidR="009D1329" w:rsidRPr="00DC5CD0" w:rsidRDefault="00FA5D47" w:rsidP="009D1329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In an MSE wall application, d</w:t>
      </w:r>
      <w:r w:rsidR="009D1329">
        <w:t xml:space="preserve">o not place reinforcements at cold joints.  Support reinforcements in a level position throughout their </w:t>
      </w:r>
      <w:proofErr w:type="gramStart"/>
      <w:r w:rsidR="009D1329">
        <w:t>length, and</w:t>
      </w:r>
      <w:proofErr w:type="gramEnd"/>
      <w:r w:rsidR="009D1329">
        <w:t xml:space="preserve"> keep them at least 6 inches above the previous day’s cold joint.</w:t>
      </w:r>
    </w:p>
    <w:p w14:paraId="356CFA3F" w14:textId="77777777" w:rsidR="00DA68A0" w:rsidRPr="00DC5CD0" w:rsidRDefault="00DA68A0" w:rsidP="00DA68A0">
      <w:pPr>
        <w:pStyle w:val="ListParagraph"/>
      </w:pPr>
    </w:p>
    <w:p w14:paraId="4FBA3415" w14:textId="1724AFD1" w:rsidR="00DA68A0" w:rsidRPr="00DC5CD0" w:rsidRDefault="00DA68A0" w:rsidP="00DA68A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rPr>
          <w:b/>
          <w:bCs/>
        </w:rPr>
        <w:t>Loading.</w:t>
      </w:r>
      <w:r w:rsidRPr="00DC5CD0">
        <w:t xml:space="preserve"> Do not apply any load on the </w:t>
      </w:r>
      <w:r w:rsidR="00EB144A">
        <w:t>LD</w:t>
      </w:r>
      <w:r w:rsidRPr="00DC5CD0">
        <w:t>CCF until it has attained a compressive strength of at least 20 psi.</w:t>
      </w:r>
    </w:p>
    <w:p w14:paraId="47BFCCD4" w14:textId="77777777" w:rsidR="004E0F93" w:rsidRPr="00DC5CD0" w:rsidRDefault="004E0F93" w:rsidP="004E0F93">
      <w:pPr>
        <w:pStyle w:val="ListParagraph"/>
      </w:pPr>
    </w:p>
    <w:p w14:paraId="5F5C44E2" w14:textId="1B84E007" w:rsidR="00700885" w:rsidRDefault="00700885" w:rsidP="004E0F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>Submittals.</w:t>
      </w:r>
      <w:r>
        <w:t xml:space="preserve">  Provide the following submittals to the Engineer </w:t>
      </w:r>
      <w:r w:rsidR="00AD5B96">
        <w:t>a minimum of 30 days prior to placement of LDCCF for each location</w:t>
      </w:r>
      <w:r w:rsidR="000364A2">
        <w:t xml:space="preserve"> for acceptance</w:t>
      </w:r>
      <w:r w:rsidR="00AD5B96">
        <w:t>:</w:t>
      </w:r>
    </w:p>
    <w:p w14:paraId="266AA1D9" w14:textId="77777777" w:rsidR="00361EEB" w:rsidRDefault="00361EEB" w:rsidP="00361EE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3F98114A" w14:textId="396D36A7" w:rsidR="00AD5B96" w:rsidRDefault="00AD5B96" w:rsidP="00AD5B9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Resume of </w:t>
      </w:r>
      <w:r w:rsidR="00332788" w:rsidRPr="00EB144A">
        <w:rPr>
          <w:b/>
          <w:bCs/>
        </w:rPr>
        <w:t>Supplier/Producer</w:t>
      </w:r>
      <w:r w:rsidR="00EB144A">
        <w:rPr>
          <w:b/>
          <w:bCs/>
        </w:rPr>
        <w:t xml:space="preserve"> and </w:t>
      </w:r>
      <w:r w:rsidRPr="00EB144A">
        <w:rPr>
          <w:b/>
          <w:bCs/>
        </w:rPr>
        <w:t>Contractor</w:t>
      </w:r>
      <w:r>
        <w:rPr>
          <w:b/>
          <w:bCs/>
        </w:rPr>
        <w:t xml:space="preserve">, </w:t>
      </w:r>
      <w:r>
        <w:t>showing experience as required in Section 2.0</w:t>
      </w:r>
      <w:r w:rsidR="00361EEB">
        <w:t>, including qualifications of Contractor’s superintendent and/or foreman.</w:t>
      </w:r>
    </w:p>
    <w:p w14:paraId="329F270B" w14:textId="6E5C21CA" w:rsidR="00361EEB" w:rsidRPr="00361EEB" w:rsidRDefault="00361EEB" w:rsidP="00361EEB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 </w:t>
      </w:r>
    </w:p>
    <w:p w14:paraId="5F8941D6" w14:textId="7FEAA2E2" w:rsidR="00361EEB" w:rsidRDefault="00361EEB" w:rsidP="00AD5B9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lastRenderedPageBreak/>
        <w:t xml:space="preserve">LDCCF Mix Design, </w:t>
      </w:r>
      <w:r>
        <w:t>meeting the requirements of Section 4.0, including materials to be used, their sources, and certified test data.</w:t>
      </w:r>
    </w:p>
    <w:p w14:paraId="76428187" w14:textId="77777777" w:rsidR="00332788" w:rsidRDefault="00332788" w:rsidP="00332788">
      <w:pPr>
        <w:pStyle w:val="ListParagraph"/>
      </w:pPr>
    </w:p>
    <w:p w14:paraId="6777B408" w14:textId="7A012DFF" w:rsidR="00332788" w:rsidRDefault="00332788" w:rsidP="00AD5B9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>QC</w:t>
      </w:r>
      <w:r w:rsidR="00D45A5F">
        <w:rPr>
          <w:b/>
          <w:bCs/>
        </w:rPr>
        <w:t>/QA</w:t>
      </w:r>
      <w:r>
        <w:rPr>
          <w:b/>
          <w:bCs/>
        </w:rPr>
        <w:t xml:space="preserve"> Plan,</w:t>
      </w:r>
      <w:r>
        <w:t xml:space="preserve"> </w:t>
      </w:r>
      <w:r w:rsidR="00D45A5F">
        <w:t>identifying the method and frequency of testing in accordance with ASTM C796</w:t>
      </w:r>
      <w:r w:rsidR="00D45A5F" w:rsidRPr="00D45A5F">
        <w:t xml:space="preserve"> </w:t>
      </w:r>
      <w:r w:rsidR="00D45A5F">
        <w:t>and meeting the requirements of Sections 5.0 and 6.0.</w:t>
      </w:r>
    </w:p>
    <w:p w14:paraId="52C8BEA9" w14:textId="77777777" w:rsidR="00D45A5F" w:rsidRDefault="00D45A5F" w:rsidP="00D45A5F">
      <w:pPr>
        <w:pStyle w:val="ListParagraph"/>
      </w:pPr>
    </w:p>
    <w:p w14:paraId="3EAD5467" w14:textId="77777777" w:rsidR="000364A2" w:rsidRDefault="000364A2" w:rsidP="00AD5B9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>Construction Plan</w:t>
      </w:r>
      <w:r w:rsidR="00D45A5F">
        <w:t xml:space="preserve">, </w:t>
      </w:r>
      <w:r>
        <w:t xml:space="preserve">with a description of equipment to be used and mixing and placement methods </w:t>
      </w:r>
      <w:r w:rsidR="00D45A5F">
        <w:t>to verify compliance with</w:t>
      </w:r>
      <w:r>
        <w:t xml:space="preserve"> Section 7.0.  Include working drawings.</w:t>
      </w:r>
    </w:p>
    <w:p w14:paraId="1A4E8ECB" w14:textId="40314EEB" w:rsidR="00D45A5F" w:rsidRPr="00700885" w:rsidRDefault="00D45A5F" w:rsidP="000364A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684F5D6B" w14:textId="5014E625" w:rsidR="004E0F93" w:rsidRPr="00DC5CD0" w:rsidRDefault="004E0F93" w:rsidP="004E0F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DC5CD0">
        <w:rPr>
          <w:b/>
          <w:bCs/>
        </w:rPr>
        <w:t>Method of Measurement.</w:t>
      </w:r>
      <w:r w:rsidRPr="00DC5CD0">
        <w:t xml:space="preserve"> The Department will measure each class of </w:t>
      </w:r>
      <w:proofErr w:type="gramStart"/>
      <w:r w:rsidR="005B4BF8" w:rsidRPr="00DC5CD0">
        <w:t>L</w:t>
      </w:r>
      <w:r w:rsidR="00EB144A">
        <w:t>ow Density</w:t>
      </w:r>
      <w:proofErr w:type="gramEnd"/>
      <w:r w:rsidRPr="00DC5CD0">
        <w:t xml:space="preserve"> Cellular Concrete Fill by the number of cubic yards of material in the final position, acceptably placed, as determined according to </w:t>
      </w:r>
      <w:r w:rsidRPr="00715DB9">
        <w:t>C&amp;MS 203.09</w:t>
      </w:r>
      <w:r w:rsidRPr="00DC5CD0">
        <w:t>.</w:t>
      </w:r>
    </w:p>
    <w:p w14:paraId="68970A11" w14:textId="7956008B" w:rsidR="004E0F93" w:rsidRPr="00DC5CD0" w:rsidRDefault="004E0F93" w:rsidP="004E0F9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58C40A00" w14:textId="77777777" w:rsidR="004E0F93" w:rsidRPr="00DC5CD0" w:rsidRDefault="004E0F93" w:rsidP="004E0F93">
      <w:pPr>
        <w:pStyle w:val="ListParagraph"/>
        <w:numPr>
          <w:ilvl w:val="0"/>
          <w:numId w:val="10"/>
        </w:numPr>
        <w:jc w:val="both"/>
      </w:pPr>
      <w:r w:rsidRPr="00DC5CD0">
        <w:rPr>
          <w:b/>
          <w:bCs/>
        </w:rPr>
        <w:t>Basis of Payment</w:t>
      </w:r>
      <w:r w:rsidRPr="00DC5CD0">
        <w:t xml:space="preserve">. The Department will pay for accepted quantities at the contract price as follows: </w:t>
      </w:r>
    </w:p>
    <w:p w14:paraId="6A0D3F9A" w14:textId="77777777" w:rsidR="004E0F93" w:rsidRPr="00DC5CD0" w:rsidRDefault="004E0F93" w:rsidP="004E0F93">
      <w:pPr>
        <w:pStyle w:val="ListParagraph"/>
        <w:ind w:left="360"/>
        <w:jc w:val="both"/>
        <w:rPr>
          <w:b/>
          <w:bCs/>
        </w:rPr>
      </w:pPr>
    </w:p>
    <w:p w14:paraId="73C0758B" w14:textId="13F92D38" w:rsidR="004E0F93" w:rsidRPr="00DC5CD0" w:rsidRDefault="004E0F93" w:rsidP="004E0F93">
      <w:pPr>
        <w:pStyle w:val="ListParagraph"/>
        <w:ind w:left="360"/>
        <w:jc w:val="both"/>
      </w:pPr>
      <w:r w:rsidRPr="00DC5CD0">
        <w:rPr>
          <w:b/>
          <w:bCs/>
        </w:rPr>
        <w:t>Item</w:t>
      </w:r>
      <w:r w:rsidRPr="00DC5CD0">
        <w:rPr>
          <w:b/>
          <w:bCs/>
        </w:rPr>
        <w:tab/>
      </w:r>
      <w:r w:rsidRPr="00DC5CD0">
        <w:rPr>
          <w:b/>
          <w:bCs/>
        </w:rPr>
        <w:tab/>
        <w:t xml:space="preserve">Unit </w:t>
      </w:r>
      <w:r w:rsidRPr="00DC5CD0">
        <w:rPr>
          <w:b/>
          <w:bCs/>
        </w:rPr>
        <w:tab/>
      </w:r>
      <w:r w:rsidRPr="00DC5CD0">
        <w:rPr>
          <w:b/>
          <w:bCs/>
        </w:rPr>
        <w:tab/>
      </w:r>
      <w:r w:rsidRPr="00DC5CD0">
        <w:rPr>
          <w:b/>
          <w:bCs/>
        </w:rPr>
        <w:tab/>
        <w:t xml:space="preserve">Description </w:t>
      </w:r>
    </w:p>
    <w:p w14:paraId="208B8EA6" w14:textId="14275E95" w:rsidR="00E83C8F" w:rsidRPr="00C72999" w:rsidRDefault="004E0F93" w:rsidP="00C7299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</w:pPr>
      <w:r w:rsidRPr="00DC5CD0">
        <w:t>Special</w:t>
      </w:r>
      <w:r w:rsidRPr="00DC5CD0">
        <w:tab/>
      </w:r>
      <w:r w:rsidRPr="00DC5CD0">
        <w:tab/>
        <w:t xml:space="preserve">Cubic Yard </w:t>
      </w:r>
      <w:r w:rsidRPr="00DC5CD0">
        <w:tab/>
        <w:t>L</w:t>
      </w:r>
      <w:r w:rsidR="00526687" w:rsidRPr="00DC5CD0">
        <w:t>ow Density</w:t>
      </w:r>
      <w:r w:rsidRPr="00DC5CD0">
        <w:t xml:space="preserve"> Cellular Concrete Fill, Class </w:t>
      </w:r>
      <w:r w:rsidR="00865493" w:rsidRPr="00715DB9">
        <w:t>__</w:t>
      </w:r>
    </w:p>
    <w:sectPr w:rsidR="00E83C8F" w:rsidRPr="00C72999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4885" w14:textId="77777777" w:rsidR="004E6DE3" w:rsidRDefault="004E6DE3">
      <w:pPr>
        <w:spacing w:after="0" w:line="240" w:lineRule="auto"/>
      </w:pPr>
      <w:r>
        <w:separator/>
      </w:r>
    </w:p>
  </w:endnote>
  <w:endnote w:type="continuationSeparator" w:id="0">
    <w:p w14:paraId="755A9A78" w14:textId="77777777" w:rsidR="004E6DE3" w:rsidRDefault="004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46E6" w14:textId="77777777" w:rsidR="00B34E99" w:rsidRDefault="00D13A80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A82D" w14:textId="77777777" w:rsidR="00B34E99" w:rsidRDefault="00D13A80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7058" w14:textId="77777777" w:rsidR="004E6DE3" w:rsidRDefault="004E6DE3">
      <w:pPr>
        <w:spacing w:after="0" w:line="240" w:lineRule="auto"/>
      </w:pPr>
      <w:r>
        <w:separator/>
      </w:r>
    </w:p>
  </w:footnote>
  <w:footnote w:type="continuationSeparator" w:id="0">
    <w:p w14:paraId="0E55BF33" w14:textId="77777777" w:rsidR="004E6DE3" w:rsidRDefault="004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FE53" w14:textId="77777777" w:rsidR="00B34E99" w:rsidRDefault="00D13A80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B7EC" w14:textId="77777777" w:rsidR="00B34E99" w:rsidRDefault="00D13A80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1A7"/>
    <w:multiLevelType w:val="hybridMultilevel"/>
    <w:tmpl w:val="0CCC2EEC"/>
    <w:lvl w:ilvl="0" w:tplc="78B64B5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spacing w:val="-2"/>
        <w:w w:val="99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7548"/>
    <w:multiLevelType w:val="multilevel"/>
    <w:tmpl w:val="58284C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CE2148B"/>
    <w:multiLevelType w:val="hybridMultilevel"/>
    <w:tmpl w:val="8174E248"/>
    <w:lvl w:ilvl="0" w:tplc="78B64B5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spacing w:val="-2"/>
        <w:w w:val="99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09A"/>
    <w:multiLevelType w:val="hybridMultilevel"/>
    <w:tmpl w:val="344EDB3A"/>
    <w:lvl w:ilvl="0" w:tplc="DD68881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/>
        <w:spacing w:val="-2"/>
        <w:w w:val="99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10C61"/>
    <w:multiLevelType w:val="multilevel"/>
    <w:tmpl w:val="E6606E7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A617A51"/>
    <w:multiLevelType w:val="hybridMultilevel"/>
    <w:tmpl w:val="7C56819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0753257"/>
    <w:multiLevelType w:val="hybridMultilevel"/>
    <w:tmpl w:val="66D6996E"/>
    <w:lvl w:ilvl="0" w:tplc="86DC097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spacing w:val="-2"/>
        <w:w w:val="99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9379D"/>
    <w:multiLevelType w:val="hybridMultilevel"/>
    <w:tmpl w:val="2F74C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F2E04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80703"/>
    <w:multiLevelType w:val="hybridMultilevel"/>
    <w:tmpl w:val="EEF6E130"/>
    <w:lvl w:ilvl="0" w:tplc="7FB4B90C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/>
        <w:spacing w:val="-2"/>
        <w:w w:val="99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A0F0E"/>
    <w:multiLevelType w:val="hybridMultilevel"/>
    <w:tmpl w:val="8FA679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0B303F"/>
    <w:multiLevelType w:val="hybridMultilevel"/>
    <w:tmpl w:val="2910AA3E"/>
    <w:lvl w:ilvl="0" w:tplc="BACEE1EE">
      <w:start w:val="1"/>
      <w:numFmt w:val="lowerRoman"/>
      <w:lvlText w:val="%1."/>
      <w:lvlJc w:val="left"/>
      <w:pPr>
        <w:ind w:left="1380" w:hanging="488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7A2D924">
      <w:start w:val="1"/>
      <w:numFmt w:val="lowerLetter"/>
      <w:lvlText w:val="%2."/>
      <w:lvlJc w:val="left"/>
      <w:pPr>
        <w:ind w:left="1066" w:hanging="2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CF6866C4">
      <w:numFmt w:val="bullet"/>
      <w:lvlText w:val="•"/>
      <w:lvlJc w:val="left"/>
      <w:pPr>
        <w:ind w:left="2293" w:hanging="227"/>
      </w:pPr>
      <w:rPr>
        <w:rFonts w:hint="default"/>
      </w:rPr>
    </w:lvl>
    <w:lvl w:ilvl="3" w:tplc="C9323BBC">
      <w:numFmt w:val="bullet"/>
      <w:lvlText w:val="•"/>
      <w:lvlJc w:val="left"/>
      <w:pPr>
        <w:ind w:left="3206" w:hanging="227"/>
      </w:pPr>
      <w:rPr>
        <w:rFonts w:hint="default"/>
      </w:rPr>
    </w:lvl>
    <w:lvl w:ilvl="4" w:tplc="0910066A">
      <w:numFmt w:val="bullet"/>
      <w:lvlText w:val="•"/>
      <w:lvlJc w:val="left"/>
      <w:pPr>
        <w:ind w:left="4120" w:hanging="227"/>
      </w:pPr>
      <w:rPr>
        <w:rFonts w:hint="default"/>
      </w:rPr>
    </w:lvl>
    <w:lvl w:ilvl="5" w:tplc="8DC42D04">
      <w:numFmt w:val="bullet"/>
      <w:lvlText w:val="•"/>
      <w:lvlJc w:val="left"/>
      <w:pPr>
        <w:ind w:left="5033" w:hanging="227"/>
      </w:pPr>
      <w:rPr>
        <w:rFonts w:hint="default"/>
      </w:rPr>
    </w:lvl>
    <w:lvl w:ilvl="6" w:tplc="6178B620">
      <w:numFmt w:val="bullet"/>
      <w:lvlText w:val="•"/>
      <w:lvlJc w:val="left"/>
      <w:pPr>
        <w:ind w:left="5946" w:hanging="227"/>
      </w:pPr>
      <w:rPr>
        <w:rFonts w:hint="default"/>
      </w:rPr>
    </w:lvl>
    <w:lvl w:ilvl="7" w:tplc="766C6AA4">
      <w:numFmt w:val="bullet"/>
      <w:lvlText w:val="•"/>
      <w:lvlJc w:val="left"/>
      <w:pPr>
        <w:ind w:left="6860" w:hanging="227"/>
      </w:pPr>
      <w:rPr>
        <w:rFonts w:hint="default"/>
      </w:rPr>
    </w:lvl>
    <w:lvl w:ilvl="8" w:tplc="A0B8631A">
      <w:numFmt w:val="bullet"/>
      <w:lvlText w:val="•"/>
      <w:lvlJc w:val="left"/>
      <w:pPr>
        <w:ind w:left="7773" w:hanging="227"/>
      </w:pPr>
      <w:rPr>
        <w:rFonts w:hint="default"/>
      </w:rPr>
    </w:lvl>
  </w:abstractNum>
  <w:abstractNum w:abstractNumId="11" w15:restartNumberingAfterBreak="0">
    <w:nsid w:val="76FF6CE8"/>
    <w:multiLevelType w:val="hybridMultilevel"/>
    <w:tmpl w:val="BD723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1944373">
    <w:abstractNumId w:val="1"/>
  </w:num>
  <w:num w:numId="2" w16cid:durableId="308023760">
    <w:abstractNumId w:val="10"/>
  </w:num>
  <w:num w:numId="3" w16cid:durableId="182062113">
    <w:abstractNumId w:val="6"/>
  </w:num>
  <w:num w:numId="4" w16cid:durableId="893927190">
    <w:abstractNumId w:val="0"/>
  </w:num>
  <w:num w:numId="5" w16cid:durableId="1792817017">
    <w:abstractNumId w:val="3"/>
  </w:num>
  <w:num w:numId="6" w16cid:durableId="143157976">
    <w:abstractNumId w:val="8"/>
  </w:num>
  <w:num w:numId="7" w16cid:durableId="109476825">
    <w:abstractNumId w:val="9"/>
  </w:num>
  <w:num w:numId="8" w16cid:durableId="1952857540">
    <w:abstractNumId w:val="7"/>
  </w:num>
  <w:num w:numId="9" w16cid:durableId="1491289066">
    <w:abstractNumId w:val="2"/>
  </w:num>
  <w:num w:numId="10" w16cid:durableId="1418596995">
    <w:abstractNumId w:val="4"/>
  </w:num>
  <w:num w:numId="11" w16cid:durableId="1092317320">
    <w:abstractNumId w:val="5"/>
  </w:num>
  <w:num w:numId="12" w16cid:durableId="4672093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64"/>
    <w:rsid w:val="00001A53"/>
    <w:rsid w:val="00003312"/>
    <w:rsid w:val="00007B05"/>
    <w:rsid w:val="00012034"/>
    <w:rsid w:val="00013873"/>
    <w:rsid w:val="000203D3"/>
    <w:rsid w:val="000364A2"/>
    <w:rsid w:val="0003783A"/>
    <w:rsid w:val="00042353"/>
    <w:rsid w:val="00045DEC"/>
    <w:rsid w:val="0004740D"/>
    <w:rsid w:val="00047CF6"/>
    <w:rsid w:val="00050A84"/>
    <w:rsid w:val="0005494E"/>
    <w:rsid w:val="000651FB"/>
    <w:rsid w:val="00067285"/>
    <w:rsid w:val="000819DB"/>
    <w:rsid w:val="0008734A"/>
    <w:rsid w:val="000955CD"/>
    <w:rsid w:val="000A2353"/>
    <w:rsid w:val="000A278D"/>
    <w:rsid w:val="000A7374"/>
    <w:rsid w:val="000B530C"/>
    <w:rsid w:val="000C03B6"/>
    <w:rsid w:val="000C1CCA"/>
    <w:rsid w:val="000F43B7"/>
    <w:rsid w:val="001047A1"/>
    <w:rsid w:val="00115DE9"/>
    <w:rsid w:val="00122423"/>
    <w:rsid w:val="0012672D"/>
    <w:rsid w:val="00134B9C"/>
    <w:rsid w:val="0014126A"/>
    <w:rsid w:val="001428E4"/>
    <w:rsid w:val="00170A6A"/>
    <w:rsid w:val="00191EBD"/>
    <w:rsid w:val="0019712B"/>
    <w:rsid w:val="001C0439"/>
    <w:rsid w:val="001D7105"/>
    <w:rsid w:val="00246310"/>
    <w:rsid w:val="00246D8C"/>
    <w:rsid w:val="002501E0"/>
    <w:rsid w:val="00257B03"/>
    <w:rsid w:val="00283869"/>
    <w:rsid w:val="002847AB"/>
    <w:rsid w:val="00295675"/>
    <w:rsid w:val="002D0D6C"/>
    <w:rsid w:val="002D4DF2"/>
    <w:rsid w:val="002E1EBF"/>
    <w:rsid w:val="002F1D1A"/>
    <w:rsid w:val="002F3CD5"/>
    <w:rsid w:val="003028BA"/>
    <w:rsid w:val="00315566"/>
    <w:rsid w:val="00316D27"/>
    <w:rsid w:val="00332788"/>
    <w:rsid w:val="003367B7"/>
    <w:rsid w:val="0034000A"/>
    <w:rsid w:val="00343A0E"/>
    <w:rsid w:val="00353CA8"/>
    <w:rsid w:val="00354C5C"/>
    <w:rsid w:val="00361EEB"/>
    <w:rsid w:val="0037706E"/>
    <w:rsid w:val="003824C4"/>
    <w:rsid w:val="00395DA8"/>
    <w:rsid w:val="003A76CF"/>
    <w:rsid w:val="003C18F4"/>
    <w:rsid w:val="003C73E8"/>
    <w:rsid w:val="003F21A9"/>
    <w:rsid w:val="00400965"/>
    <w:rsid w:val="0040371F"/>
    <w:rsid w:val="00405C38"/>
    <w:rsid w:val="00405F9E"/>
    <w:rsid w:val="004074C2"/>
    <w:rsid w:val="00423455"/>
    <w:rsid w:val="00427D8F"/>
    <w:rsid w:val="00435CE2"/>
    <w:rsid w:val="00450FE7"/>
    <w:rsid w:val="00466787"/>
    <w:rsid w:val="004766E3"/>
    <w:rsid w:val="00492D32"/>
    <w:rsid w:val="0049496D"/>
    <w:rsid w:val="00496B0E"/>
    <w:rsid w:val="004A7DB5"/>
    <w:rsid w:val="004D1E78"/>
    <w:rsid w:val="004E0F93"/>
    <w:rsid w:val="004E6D69"/>
    <w:rsid w:val="004E6DE3"/>
    <w:rsid w:val="004F5760"/>
    <w:rsid w:val="00512227"/>
    <w:rsid w:val="0051729F"/>
    <w:rsid w:val="00517715"/>
    <w:rsid w:val="005205C4"/>
    <w:rsid w:val="005253F2"/>
    <w:rsid w:val="00525BA6"/>
    <w:rsid w:val="00526687"/>
    <w:rsid w:val="00530FF4"/>
    <w:rsid w:val="00545161"/>
    <w:rsid w:val="005728FB"/>
    <w:rsid w:val="00580A9F"/>
    <w:rsid w:val="005924BF"/>
    <w:rsid w:val="005B1013"/>
    <w:rsid w:val="005B4BF8"/>
    <w:rsid w:val="005C3694"/>
    <w:rsid w:val="005C5F67"/>
    <w:rsid w:val="005D54AB"/>
    <w:rsid w:val="005F6614"/>
    <w:rsid w:val="00627D80"/>
    <w:rsid w:val="006524E2"/>
    <w:rsid w:val="006A4AAA"/>
    <w:rsid w:val="006B0679"/>
    <w:rsid w:val="006B0D33"/>
    <w:rsid w:val="006F3952"/>
    <w:rsid w:val="006F7864"/>
    <w:rsid w:val="00700885"/>
    <w:rsid w:val="00715DB9"/>
    <w:rsid w:val="00744E71"/>
    <w:rsid w:val="00747DDB"/>
    <w:rsid w:val="00751750"/>
    <w:rsid w:val="00785051"/>
    <w:rsid w:val="00787F09"/>
    <w:rsid w:val="007A591F"/>
    <w:rsid w:val="007B52D5"/>
    <w:rsid w:val="007C5CFC"/>
    <w:rsid w:val="007D2964"/>
    <w:rsid w:val="007D79C4"/>
    <w:rsid w:val="007F12AA"/>
    <w:rsid w:val="007F4A19"/>
    <w:rsid w:val="007F4E38"/>
    <w:rsid w:val="007F5360"/>
    <w:rsid w:val="008129B5"/>
    <w:rsid w:val="00820659"/>
    <w:rsid w:val="008211E9"/>
    <w:rsid w:val="008306E7"/>
    <w:rsid w:val="00832388"/>
    <w:rsid w:val="00854C97"/>
    <w:rsid w:val="00857BBE"/>
    <w:rsid w:val="0086276A"/>
    <w:rsid w:val="00865493"/>
    <w:rsid w:val="008701A6"/>
    <w:rsid w:val="00873536"/>
    <w:rsid w:val="00877C66"/>
    <w:rsid w:val="00885AE9"/>
    <w:rsid w:val="00886F23"/>
    <w:rsid w:val="008A1DD7"/>
    <w:rsid w:val="008A4D2C"/>
    <w:rsid w:val="008B6931"/>
    <w:rsid w:val="008C2022"/>
    <w:rsid w:val="008C705F"/>
    <w:rsid w:val="008F0B99"/>
    <w:rsid w:val="008F55CB"/>
    <w:rsid w:val="008F7F54"/>
    <w:rsid w:val="00906DB5"/>
    <w:rsid w:val="009310AB"/>
    <w:rsid w:val="00966F7D"/>
    <w:rsid w:val="00972A4D"/>
    <w:rsid w:val="00973739"/>
    <w:rsid w:val="009B3D08"/>
    <w:rsid w:val="009B4C6F"/>
    <w:rsid w:val="009B5DAD"/>
    <w:rsid w:val="009B6123"/>
    <w:rsid w:val="009C292C"/>
    <w:rsid w:val="009C72B5"/>
    <w:rsid w:val="009D1329"/>
    <w:rsid w:val="009F3D35"/>
    <w:rsid w:val="00A01577"/>
    <w:rsid w:val="00A02763"/>
    <w:rsid w:val="00A069D0"/>
    <w:rsid w:val="00A154DA"/>
    <w:rsid w:val="00A229B9"/>
    <w:rsid w:val="00A23092"/>
    <w:rsid w:val="00A27C73"/>
    <w:rsid w:val="00A52687"/>
    <w:rsid w:val="00A74089"/>
    <w:rsid w:val="00A81F0F"/>
    <w:rsid w:val="00A873D5"/>
    <w:rsid w:val="00AA2BE1"/>
    <w:rsid w:val="00AD0BE6"/>
    <w:rsid w:val="00AD2E19"/>
    <w:rsid w:val="00AD5B96"/>
    <w:rsid w:val="00B11F66"/>
    <w:rsid w:val="00B261E6"/>
    <w:rsid w:val="00B75FAC"/>
    <w:rsid w:val="00B944B9"/>
    <w:rsid w:val="00BA12C6"/>
    <w:rsid w:val="00BC21DD"/>
    <w:rsid w:val="00BC2223"/>
    <w:rsid w:val="00BC6921"/>
    <w:rsid w:val="00BD011E"/>
    <w:rsid w:val="00BD6011"/>
    <w:rsid w:val="00BE0881"/>
    <w:rsid w:val="00BE0B04"/>
    <w:rsid w:val="00BE154A"/>
    <w:rsid w:val="00BE3779"/>
    <w:rsid w:val="00BE6F66"/>
    <w:rsid w:val="00BF61AC"/>
    <w:rsid w:val="00BF7103"/>
    <w:rsid w:val="00C0589D"/>
    <w:rsid w:val="00C0600E"/>
    <w:rsid w:val="00C06C49"/>
    <w:rsid w:val="00C600DE"/>
    <w:rsid w:val="00C72999"/>
    <w:rsid w:val="00C85504"/>
    <w:rsid w:val="00CC6997"/>
    <w:rsid w:val="00D0319D"/>
    <w:rsid w:val="00D074A3"/>
    <w:rsid w:val="00D13A80"/>
    <w:rsid w:val="00D1435C"/>
    <w:rsid w:val="00D31614"/>
    <w:rsid w:val="00D436E7"/>
    <w:rsid w:val="00D45A5F"/>
    <w:rsid w:val="00D71BF5"/>
    <w:rsid w:val="00D8377F"/>
    <w:rsid w:val="00D84E6E"/>
    <w:rsid w:val="00D94EDD"/>
    <w:rsid w:val="00D967D1"/>
    <w:rsid w:val="00DA404C"/>
    <w:rsid w:val="00DA68A0"/>
    <w:rsid w:val="00DB1E32"/>
    <w:rsid w:val="00DC5CD0"/>
    <w:rsid w:val="00DD5C80"/>
    <w:rsid w:val="00DE2B38"/>
    <w:rsid w:val="00DE3A84"/>
    <w:rsid w:val="00DE4FBA"/>
    <w:rsid w:val="00E00922"/>
    <w:rsid w:val="00E03FD3"/>
    <w:rsid w:val="00E04CE5"/>
    <w:rsid w:val="00E274B4"/>
    <w:rsid w:val="00E560C7"/>
    <w:rsid w:val="00E600A8"/>
    <w:rsid w:val="00E834CB"/>
    <w:rsid w:val="00E83C8F"/>
    <w:rsid w:val="00EA2F54"/>
    <w:rsid w:val="00EB02CE"/>
    <w:rsid w:val="00EB144A"/>
    <w:rsid w:val="00EC6DAB"/>
    <w:rsid w:val="00ED55D1"/>
    <w:rsid w:val="00EE741C"/>
    <w:rsid w:val="00EF2C93"/>
    <w:rsid w:val="00F02A7A"/>
    <w:rsid w:val="00F04DD3"/>
    <w:rsid w:val="00F11EC3"/>
    <w:rsid w:val="00F204D1"/>
    <w:rsid w:val="00F20C7F"/>
    <w:rsid w:val="00F25678"/>
    <w:rsid w:val="00F4703E"/>
    <w:rsid w:val="00F55243"/>
    <w:rsid w:val="00F574AA"/>
    <w:rsid w:val="00F61490"/>
    <w:rsid w:val="00F70BDE"/>
    <w:rsid w:val="00F802EE"/>
    <w:rsid w:val="00F970A5"/>
    <w:rsid w:val="00FA3BDC"/>
    <w:rsid w:val="00FA5D47"/>
    <w:rsid w:val="00FC4DDE"/>
    <w:rsid w:val="00FD07D5"/>
    <w:rsid w:val="00FD493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FFBC"/>
  <w15:chartTrackingRefBased/>
  <w15:docId w15:val="{AB595BA0-F132-46B7-85AD-3108363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512227"/>
    <w:pPr>
      <w:ind w:left="720"/>
      <w:contextualSpacing/>
    </w:pPr>
    <w:rPr>
      <w:sz w:val="24"/>
      <w:szCs w:val="24"/>
    </w:rPr>
  </w:style>
  <w:style w:type="paragraph" w:customStyle="1" w:styleId="Para">
    <w:name w:val="Para"/>
    <w:rsid w:val="007D79C4"/>
    <w:pPr>
      <w:spacing w:after="0" w:line="240" w:lineRule="auto"/>
      <w:ind w:firstLine="360"/>
      <w:jc w:val="both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906DB5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6DB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4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D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F4D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D07"/>
    <w:rPr>
      <w:b/>
      <w:bCs/>
    </w:rPr>
  </w:style>
  <w:style w:type="table" w:styleId="TableGrid">
    <w:name w:val="Table Grid"/>
    <w:basedOn w:val="TableNormal"/>
    <w:uiPriority w:val="39"/>
    <w:rsid w:val="002F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rsid w:val="002D4DF2"/>
    <w:pPr>
      <w:keepNext/>
      <w:spacing w:after="0" w:line="240" w:lineRule="auto"/>
      <w:jc w:val="center"/>
    </w:pPr>
    <w:rPr>
      <w:rFonts w:eastAsia="Times New Roman"/>
      <w:b/>
      <w:caps/>
      <w:sz w:val="24"/>
      <w:szCs w:val="24"/>
    </w:rPr>
  </w:style>
  <w:style w:type="paragraph" w:customStyle="1" w:styleId="SectionDate">
    <w:name w:val="Section Date"/>
    <w:basedOn w:val="Section"/>
    <w:rsid w:val="002D4DF2"/>
    <w:rPr>
      <w:caps w:val="0"/>
    </w:rPr>
  </w:style>
  <w:style w:type="character" w:customStyle="1" w:styleId="Heading1Char">
    <w:name w:val="Heading 1 Char"/>
    <w:basedOn w:val="DefaultParagraphFont"/>
    <w:link w:val="Heading1"/>
    <w:uiPriority w:val="9"/>
    <w:rsid w:val="000138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387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13873"/>
    <w:pPr>
      <w:spacing w:after="100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13873"/>
    <w:pPr>
      <w:spacing w:after="10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13873"/>
    <w:pPr>
      <w:spacing w:after="100"/>
      <w:ind w:left="440"/>
    </w:pPr>
    <w:rPr>
      <w:rFonts w:asciiTheme="minorHAnsi" w:eastAsiaTheme="minorEastAsia" w:hAnsiTheme="minorHAnsi"/>
      <w:sz w:val="22"/>
      <w:szCs w:val="22"/>
    </w:rPr>
  </w:style>
  <w:style w:type="paragraph" w:styleId="Revision">
    <w:name w:val="Revision"/>
    <w:hidden/>
    <w:uiPriority w:val="99"/>
    <w:semiHidden/>
    <w:rsid w:val="00DC5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9305271BD314F85B40E2D2F142C7F" ma:contentTypeVersion="1" ma:contentTypeDescription="Create a new document." ma:contentTypeScope="" ma:versionID="11a2bac15c2baac42eea15edf4a3acaf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ae4f6091837069fb0bab1d2cfdd18ada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6EF71-6E97-46C1-8142-CDA017E6E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AAE16-9972-40A7-AB3C-ED26FA075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BE4538-61A7-4BA8-A0C4-46FC43BBE7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0592BC-0848-497B-A4CD-3980C1E64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Provision: Micropile Load Testing</vt:lpstr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Provision: Low Density Cellular Concrete Fill</dc:title>
  <dc:subject/>
  <dc:creator>Dettloff, Alexander</dc:creator>
  <cp:keywords/>
  <dc:description/>
  <cp:lastModifiedBy>Merklin, Christopher</cp:lastModifiedBy>
  <cp:revision>9</cp:revision>
  <dcterms:created xsi:type="dcterms:W3CDTF">2023-03-20T15:01:00Z</dcterms:created>
  <dcterms:modified xsi:type="dcterms:W3CDTF">2023-04-03T18:43:00Z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0x010100C4F9305271BD314F85B40E2D2F142C7F</vt:lpwstr>
  </property>
</Properties>
</file>